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2A2889" w:rsidP="002A2889">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after="120" w:line="264" w:lineRule="auto"/>
        <w:jc w:val="both"/>
        <w:rPr>
          <w:rFonts w:ascii="Calibri" w:hAnsi="Calibri" w:cs="Calibri"/>
          <w:b/>
          <w:bCs/>
          <w:color w:val="000000"/>
          <w:lang w:eastAsia="zh-CN"/>
        </w:rPr>
      </w:pPr>
      <w:bookmarkStart w:id="0" w:name="_GoBack"/>
      <w:r w:rsidRPr="002A2889">
        <w:rPr>
          <w:rFonts w:ascii="Calibri" w:hAnsi="Calibri" w:cs="Calibri"/>
          <w:b/>
          <w:bCs/>
          <w:color w:val="000000"/>
          <w:lang w:eastAsia="zh-CN"/>
        </w:rPr>
        <w:t>Die Spiritualität des Menschen – Die allumfassende Existenz des Menschen. Leben im Gleichklang mit der Natur</w:t>
      </w:r>
    </w:p>
    <w:bookmarkEnd w:id="0"/>
    <w:p w:rsidR="002A2889" w:rsidRPr="002A2889" w:rsidRDefault="002A2889" w:rsidP="002A2889">
      <w:pPr>
        <w:spacing w:after="120" w:line="264" w:lineRule="auto"/>
        <w:jc w:val="both"/>
        <w:rPr>
          <w:rFonts w:ascii="Calibri" w:hAnsi="Calibri" w:cs="Calibri"/>
          <w:color w:val="000000"/>
          <w:szCs w:val="22"/>
          <w:lang w:eastAsia="zh-CN"/>
        </w:rPr>
      </w:pPr>
      <w:r w:rsidRPr="002A2889">
        <w:rPr>
          <w:rFonts w:ascii="Calibri" w:hAnsi="Calibri" w:cs="Calibri"/>
          <w:color w:val="000000"/>
          <w:szCs w:val="22"/>
          <w:lang w:eastAsia="zh-CN"/>
        </w:rPr>
        <w:t>Die Spiritualität des Menschen ist weit mehr als ein persönliches Gefühl oder ein religiöses Bekenntnis – sie ist ein tief in der Menschheitsgeschichte verwurzelter Ausdruck unserer Suche nach Sinn, Verbundenheit und Orientierung. Im Kontext des eniri.KULTURA-Projekts bildet sie eine der drei zentralen Regelgrößen für eine ganzheitliche WeltGesellschaft. Denn wenn wir die Beziehung zwischen Mensch und Welt neu denken wollen, müssen wir auch die Frage stellen, welche Form der Innerlichkeit, welche Vorstellung vom Menschen uns leitet.</w:t>
      </w:r>
    </w:p>
    <w:p w:rsidR="002A2889" w:rsidRPr="002A2889" w:rsidRDefault="002A2889" w:rsidP="002A2889">
      <w:pPr>
        <w:spacing w:after="120" w:line="264" w:lineRule="auto"/>
        <w:jc w:val="both"/>
        <w:rPr>
          <w:rFonts w:ascii="Calibri" w:hAnsi="Calibri" w:cs="Calibri"/>
          <w:color w:val="000000"/>
          <w:szCs w:val="22"/>
          <w:lang w:eastAsia="zh-CN"/>
        </w:rPr>
      </w:pPr>
      <w:r w:rsidRPr="002A2889">
        <w:rPr>
          <w:rFonts w:ascii="Calibri" w:hAnsi="Calibri" w:cs="Calibri"/>
          <w:color w:val="000000"/>
          <w:szCs w:val="22"/>
          <w:lang w:eastAsia="zh-CN"/>
        </w:rPr>
        <w:t>Spiritualität hat ihre Ursprünge in der Frühgeschichte, als Menschen begannen, das Unerklärliche mit mythologischen Bildern zu deuten. Der Himmel, die Elemente, Leben und Tod – all das wurde Teil einer geistigen Deutung, die uns bis heute prägt. Doch die moderne Welt, so die These dieses Moduls, hat diese spirituelle Dimension verloren oder in Ersatzreligionen wie Konsum und Fortschritt verschoben. Was fehlt, ist nicht Wissen oder Technik, sondern Orientierung.</w:t>
      </w:r>
    </w:p>
    <w:p w:rsidR="002A2889" w:rsidRPr="002A2889" w:rsidRDefault="002A2889" w:rsidP="002A2889">
      <w:pPr>
        <w:spacing w:after="120" w:line="264" w:lineRule="auto"/>
        <w:jc w:val="both"/>
        <w:rPr>
          <w:rFonts w:ascii="Calibri" w:hAnsi="Calibri" w:cs="Calibri"/>
          <w:color w:val="000000"/>
          <w:szCs w:val="22"/>
          <w:lang w:eastAsia="zh-CN"/>
        </w:rPr>
      </w:pPr>
      <w:r w:rsidRPr="002A2889">
        <w:rPr>
          <w:rFonts w:ascii="Calibri" w:hAnsi="Calibri" w:cs="Calibri"/>
          <w:color w:val="000000"/>
          <w:szCs w:val="22"/>
          <w:lang w:eastAsia="zh-CN"/>
        </w:rPr>
        <w:t>Diese Orientierungslosigkeit ist kein oberflächliches Problem, sondern Ausdruck einer tieferliegenden metaphysischen Krise – jener epochalen Sinnkrise, die Denker wie Nietzsche und Heidegger im 19. und 20. Jahrhundert diagnostiziert haben. Der Mensch, so ihre Beobachtung, hat seine Anbindung an das Ganze, an eine umfassende Idee von Sein, verloren. Anstelle von gemeinschaftlichem Sinn tritt ein vereinzeltes, funktionalisiertes Selbst. Die Folge ist eine globale Kultur der Entfremdung – von der Natur, von anderen Menschen, von sich selbst.</w:t>
      </w:r>
    </w:p>
    <w:p w:rsidR="002A2889" w:rsidRPr="002A2889" w:rsidRDefault="002A2889" w:rsidP="002A2889">
      <w:pPr>
        <w:spacing w:after="120" w:line="264" w:lineRule="auto"/>
        <w:jc w:val="both"/>
        <w:rPr>
          <w:rFonts w:ascii="Calibri" w:hAnsi="Calibri" w:cs="Calibri"/>
          <w:color w:val="000000"/>
          <w:szCs w:val="22"/>
          <w:lang w:eastAsia="zh-CN"/>
        </w:rPr>
      </w:pPr>
      <w:r w:rsidRPr="002A2889">
        <w:rPr>
          <w:rFonts w:ascii="Calibri" w:hAnsi="Calibri" w:cs="Calibri"/>
          <w:color w:val="000000"/>
          <w:szCs w:val="22"/>
          <w:lang w:eastAsia="zh-CN"/>
        </w:rPr>
        <w:t xml:space="preserve">Das eniri.KULTURA-Projekt stellt dieser Krise ein neues Verständnis von Spiritualität gegenüber: eine Spiritualität, die weder dogmatisch noch irrational ist, sondern eingebettet in das größere Ganze der Natur und des Kosmos. Der Codex Orbis Infinitate (COI) – eine der drei zentralen Verfassungsgrundlagen der gWG – formuliert diesen Anspruch. Er versteht den Menschen nicht nur als materielles, sondern als transzendentes Wesen, das eingebunden ist in einen größeren Zusammenhang aus sichtbarer </w:t>
      </w:r>
      <w:r>
        <w:rPr>
          <w:rFonts w:ascii="Calibri" w:hAnsi="Calibri" w:cs="Calibri"/>
          <w:color w:val="000000"/>
          <w:szCs w:val="22"/>
          <w:lang w:eastAsia="zh-CN"/>
        </w:rPr>
        <w:t xml:space="preserve">(der »Welt des Lebendigen«) </w:t>
      </w:r>
      <w:r w:rsidRPr="002A2889">
        <w:rPr>
          <w:rFonts w:ascii="Calibri" w:hAnsi="Calibri" w:cs="Calibri"/>
          <w:color w:val="000000"/>
          <w:szCs w:val="22"/>
          <w:lang w:eastAsia="zh-CN"/>
        </w:rPr>
        <w:t>und nicht-sichtbarer Welt</w:t>
      </w:r>
      <w:r>
        <w:rPr>
          <w:rFonts w:ascii="Calibri" w:hAnsi="Calibri" w:cs="Calibri"/>
          <w:color w:val="000000"/>
          <w:szCs w:val="22"/>
          <w:lang w:eastAsia="zh-CN"/>
        </w:rPr>
        <w:t xml:space="preserve"> (der »Welt des Möglichen«)</w:t>
      </w:r>
      <w:r w:rsidRPr="002A2889">
        <w:rPr>
          <w:rFonts w:ascii="Calibri" w:hAnsi="Calibri" w:cs="Calibri"/>
          <w:color w:val="000000"/>
          <w:szCs w:val="22"/>
          <w:lang w:eastAsia="zh-CN"/>
        </w:rPr>
        <w:t>.</w:t>
      </w:r>
    </w:p>
    <w:p w:rsidR="002A2889" w:rsidRPr="002A2889" w:rsidRDefault="002A2889" w:rsidP="002A2889">
      <w:pPr>
        <w:spacing w:after="120" w:line="264" w:lineRule="auto"/>
        <w:jc w:val="both"/>
        <w:rPr>
          <w:rFonts w:ascii="Calibri" w:hAnsi="Calibri" w:cs="Calibri"/>
          <w:color w:val="000000"/>
          <w:szCs w:val="22"/>
          <w:lang w:eastAsia="zh-CN"/>
        </w:rPr>
      </w:pPr>
      <w:r w:rsidRPr="002A2889">
        <w:rPr>
          <w:rFonts w:ascii="Calibri" w:hAnsi="Calibri" w:cs="Calibri"/>
          <w:color w:val="000000"/>
          <w:szCs w:val="22"/>
          <w:lang w:eastAsia="zh-CN"/>
        </w:rPr>
        <w:t>Diese neue Sicht auf Spiritualität beruht auf der Erkenntnis, dass lokale und nicht-lokale Existenzebenen miteinander verbunden sind – eine Vorstellung, die nicht nur spirituell, sondern auch wissenschaftlich durch moderne Quantenbiologie</w:t>
      </w:r>
      <w:r w:rsidR="000B1310">
        <w:rPr>
          <w:rFonts w:ascii="Calibri" w:hAnsi="Calibri" w:cs="Calibri"/>
          <w:color w:val="000000"/>
          <w:szCs w:val="22"/>
          <w:lang w:eastAsia="zh-CN"/>
        </w:rPr>
        <w:t>,</w:t>
      </w:r>
      <w:r w:rsidRPr="002A2889">
        <w:rPr>
          <w:rFonts w:ascii="Calibri" w:hAnsi="Calibri" w:cs="Calibri"/>
          <w:color w:val="000000"/>
          <w:szCs w:val="22"/>
          <w:lang w:eastAsia="zh-CN"/>
        </w:rPr>
        <w:t xml:space="preserve"> -physik</w:t>
      </w:r>
      <w:r w:rsidR="000B1310">
        <w:rPr>
          <w:rFonts w:ascii="Calibri" w:hAnsi="Calibri" w:cs="Calibri"/>
          <w:color w:val="000000"/>
          <w:szCs w:val="22"/>
          <w:lang w:eastAsia="zh-CN"/>
        </w:rPr>
        <w:t xml:space="preserve"> und -theorie</w:t>
      </w:r>
      <w:r w:rsidRPr="002A2889">
        <w:rPr>
          <w:rFonts w:ascii="Calibri" w:hAnsi="Calibri" w:cs="Calibri"/>
          <w:color w:val="000000"/>
          <w:szCs w:val="22"/>
          <w:lang w:eastAsia="zh-CN"/>
        </w:rPr>
        <w:t xml:space="preserve"> gestützt wird. Die "Nahtoderfahrungen" vieler Millionen Menschen, oft beschrieben als reale Einblicke in eine nicht-lokale Wirklichkeit, werden als Brücken zwischen diesen Ebenen gedeutet. Der Mensch wird somit als Wesen begriffen, das in seiner Entwicklung zwischen den Ebenen wandelt – offen für Bewusstseinserweiterung, verbunden mit dem Ganzen.</w:t>
      </w:r>
    </w:p>
    <w:p w:rsidR="002A2889" w:rsidRPr="002A2889" w:rsidRDefault="002A2889" w:rsidP="002A2889">
      <w:pPr>
        <w:spacing w:after="120" w:line="264" w:lineRule="auto"/>
        <w:jc w:val="both"/>
        <w:rPr>
          <w:rFonts w:ascii="Calibri" w:hAnsi="Calibri" w:cs="Calibri"/>
          <w:color w:val="000000"/>
          <w:szCs w:val="22"/>
          <w:lang w:eastAsia="zh-CN"/>
        </w:rPr>
      </w:pPr>
      <w:r w:rsidRPr="002A2889">
        <w:rPr>
          <w:rFonts w:ascii="Calibri" w:hAnsi="Calibri" w:cs="Calibri"/>
          <w:color w:val="000000"/>
          <w:szCs w:val="22"/>
          <w:lang w:eastAsia="zh-CN"/>
        </w:rPr>
        <w:t xml:space="preserve">Aus dieser Perspektive ergibt sich ein neues Menschenbild: der </w:t>
      </w:r>
      <w:r w:rsidR="000B1310">
        <w:rPr>
          <w:rFonts w:ascii="Calibri" w:hAnsi="Calibri" w:cs="Calibri"/>
          <w:color w:val="000000"/>
          <w:szCs w:val="22"/>
          <w:lang w:eastAsia="zh-CN"/>
        </w:rPr>
        <w:t>»</w:t>
      </w:r>
      <w:r w:rsidRPr="002A2889">
        <w:rPr>
          <w:rFonts w:ascii="Calibri" w:hAnsi="Calibri" w:cs="Calibri"/>
          <w:color w:val="000000"/>
          <w:szCs w:val="22"/>
          <w:lang w:eastAsia="zh-CN"/>
        </w:rPr>
        <w:t>Homo Integralis</w:t>
      </w:r>
      <w:r w:rsidR="000B1310">
        <w:rPr>
          <w:rFonts w:ascii="Calibri" w:hAnsi="Calibri" w:cs="Calibri"/>
          <w:color w:val="000000"/>
          <w:szCs w:val="22"/>
          <w:lang w:eastAsia="zh-CN"/>
        </w:rPr>
        <w:t>«</w:t>
      </w:r>
      <w:r w:rsidRPr="002A2889">
        <w:rPr>
          <w:rFonts w:ascii="Calibri" w:hAnsi="Calibri" w:cs="Calibri"/>
          <w:color w:val="000000"/>
          <w:szCs w:val="22"/>
          <w:lang w:eastAsia="zh-CN"/>
        </w:rPr>
        <w:t xml:space="preserve">. Er ist mehr als der moralisch handelnde </w:t>
      </w:r>
      <w:r w:rsidR="000B1310">
        <w:rPr>
          <w:rFonts w:ascii="Calibri" w:hAnsi="Calibri" w:cs="Calibri"/>
          <w:color w:val="000000"/>
          <w:szCs w:val="22"/>
          <w:lang w:eastAsia="zh-CN"/>
        </w:rPr>
        <w:t>»</w:t>
      </w:r>
      <w:r w:rsidRPr="002A2889">
        <w:rPr>
          <w:rFonts w:ascii="Calibri" w:hAnsi="Calibri" w:cs="Calibri"/>
          <w:color w:val="000000"/>
          <w:szCs w:val="22"/>
          <w:lang w:eastAsia="zh-CN"/>
        </w:rPr>
        <w:t>Homo Cooperativus</w:t>
      </w:r>
      <w:r w:rsidR="000B1310">
        <w:rPr>
          <w:rFonts w:ascii="Calibri" w:hAnsi="Calibri" w:cs="Calibri"/>
          <w:color w:val="000000"/>
          <w:szCs w:val="22"/>
          <w:lang w:eastAsia="zh-CN"/>
        </w:rPr>
        <w:t>«, denn</w:t>
      </w:r>
      <w:r w:rsidRPr="002A2889">
        <w:rPr>
          <w:rFonts w:ascii="Calibri" w:hAnsi="Calibri" w:cs="Calibri"/>
          <w:color w:val="000000"/>
          <w:szCs w:val="22"/>
          <w:lang w:eastAsia="zh-CN"/>
        </w:rPr>
        <w:t xml:space="preserve"> er ist sich seiner transzendenten Dimension bewusst und beginnt, seine geistigen, spirituellen und energetischen Potenziale gezielt zu entfalten. D</w:t>
      </w:r>
      <w:r w:rsidR="000B1310">
        <w:rPr>
          <w:rFonts w:ascii="Calibri" w:hAnsi="Calibri" w:cs="Calibri"/>
          <w:color w:val="000000"/>
          <w:szCs w:val="22"/>
          <w:lang w:eastAsia="zh-CN"/>
        </w:rPr>
        <w:t xml:space="preserve">er </w:t>
      </w:r>
      <w:r w:rsidR="000B1310" w:rsidRPr="002A2889">
        <w:rPr>
          <w:rFonts w:ascii="Calibri" w:hAnsi="Calibri" w:cs="Calibri"/>
          <w:color w:val="000000"/>
          <w:szCs w:val="22"/>
          <w:lang w:eastAsia="zh-CN"/>
        </w:rPr>
        <w:t>Homo Integralis</w:t>
      </w:r>
      <w:r w:rsidRPr="002A2889">
        <w:rPr>
          <w:rFonts w:ascii="Calibri" w:hAnsi="Calibri" w:cs="Calibri"/>
          <w:color w:val="000000"/>
          <w:szCs w:val="22"/>
          <w:lang w:eastAsia="zh-CN"/>
        </w:rPr>
        <w:t xml:space="preserve"> versteht sich nicht nur als Teil einer Gemeinschaft, sondern als Wesen im Dienst des Ganzen – als Vermittler zwischen Materie und Bewusstsein, zwischen Erde und Kosmos.</w:t>
      </w:r>
    </w:p>
    <w:p w:rsidR="002A2889" w:rsidRPr="002A2889" w:rsidRDefault="002A2889" w:rsidP="002A2889">
      <w:pPr>
        <w:spacing w:after="120" w:line="264" w:lineRule="auto"/>
        <w:jc w:val="both"/>
        <w:rPr>
          <w:rFonts w:ascii="Calibri" w:hAnsi="Calibri" w:cs="Calibri"/>
          <w:color w:val="000000"/>
          <w:szCs w:val="22"/>
          <w:lang w:eastAsia="zh-CN"/>
        </w:rPr>
      </w:pPr>
      <w:r w:rsidRPr="002A2889">
        <w:rPr>
          <w:rFonts w:ascii="Calibri" w:hAnsi="Calibri" w:cs="Calibri"/>
          <w:color w:val="000000"/>
          <w:szCs w:val="22"/>
          <w:lang w:eastAsia="zh-CN"/>
        </w:rPr>
        <w:t>Spiritualität wird in diesem Verständnis zur aktiven Praxis der Selbstverfeinerung. Sie beginnt nicht erst in religiösem Ritual, sondern mit der bewussten Arbeit an der eigenen Lebensenergie, am eigenen Verhalten, an der eigenen Wahrheit</w:t>
      </w:r>
      <w:r w:rsidR="000B1310">
        <w:rPr>
          <w:rFonts w:ascii="Calibri" w:hAnsi="Calibri" w:cs="Calibri"/>
          <w:color w:val="000000"/>
          <w:szCs w:val="22"/>
          <w:lang w:eastAsia="zh-CN"/>
        </w:rPr>
        <w:t>, an der eigenen Vervollkommnung</w:t>
      </w:r>
      <w:r w:rsidRPr="002A2889">
        <w:rPr>
          <w:rFonts w:ascii="Calibri" w:hAnsi="Calibri" w:cs="Calibri"/>
          <w:color w:val="000000"/>
          <w:szCs w:val="22"/>
          <w:lang w:eastAsia="zh-CN"/>
        </w:rPr>
        <w:t xml:space="preserve">. Sie ist verbunden mit einer Ethik des </w:t>
      </w:r>
      <w:r w:rsidRPr="002A2889">
        <w:rPr>
          <w:rFonts w:ascii="Calibri" w:hAnsi="Calibri" w:cs="Calibri"/>
          <w:color w:val="000000"/>
          <w:szCs w:val="22"/>
          <w:lang w:eastAsia="zh-CN"/>
        </w:rPr>
        <w:lastRenderedPageBreak/>
        <w:t>Respekts gegenüber allen Lebewesen, mit Empathie, Selbstwahrnehmung, Toleranz und der klaren Ablehnung destruktiver Einflüsse. Die spirituelle Entwicklung des Einzelnen ist in dieser Sicht nicht von seinem Alltag zu trennen – sie drückt sich im Handeln, im Mitfühlen, in der Gestaltung des Lebens aus.</w:t>
      </w:r>
    </w:p>
    <w:p w:rsidR="002A2889" w:rsidRDefault="002A2889" w:rsidP="002A2889">
      <w:pPr>
        <w:spacing w:after="360" w:line="264" w:lineRule="auto"/>
        <w:jc w:val="both"/>
        <w:rPr>
          <w:rFonts w:ascii="Calibri" w:hAnsi="Calibri" w:cs="Calibri"/>
          <w:color w:val="000000"/>
          <w:szCs w:val="22"/>
          <w:lang w:eastAsia="zh-CN"/>
        </w:rPr>
      </w:pPr>
      <w:r w:rsidRPr="002A2889">
        <w:rPr>
          <w:rFonts w:ascii="Calibri" w:hAnsi="Calibri" w:cs="Calibri"/>
          <w:color w:val="000000"/>
          <w:szCs w:val="22"/>
          <w:lang w:eastAsia="zh-CN"/>
        </w:rPr>
        <w:t>Der Homo Integralis sucht nicht das Jenseits, um dem Diesseits zu entkommen – sondern erkennt, dass beides miteinander verschränkt ist. Er nutzt wissenschaftliche Erkenntnisse, moderne Technologien und alte Weisheiten, um ein Leben zu gestalten, das im Gleichklang mit Natur, Mitmenschen und innerem Auftrag steht. Diese Synthese von Spiritualität und Bewusstsein bildet die Grundlage für eine tiefere, global geteilte Form von Menschlichkeit.</w:t>
      </w:r>
    </w:p>
    <w:p w:rsidR="00EC476B" w:rsidRDefault="00EC476B" w:rsidP="002A2889">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8F1" w:rsidRDefault="009038F1">
      <w:r>
        <w:separator/>
      </w:r>
    </w:p>
  </w:endnote>
  <w:endnote w:type="continuationSeparator" w:id="0">
    <w:p w:rsidR="009038F1" w:rsidRDefault="0090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8F1" w:rsidRDefault="009038F1">
      <w:r>
        <w:separator/>
      </w:r>
    </w:p>
  </w:footnote>
  <w:footnote w:type="continuationSeparator" w:id="0">
    <w:p w:rsidR="009038F1" w:rsidRDefault="0090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06717B">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25301"/>
    <w:multiLevelType w:val="hybridMultilevel"/>
    <w:tmpl w:val="4BB61840"/>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3" w15:restartNumberingAfterBreak="0">
    <w:nsid w:val="4E264010"/>
    <w:multiLevelType w:val="hybridMultilevel"/>
    <w:tmpl w:val="C99E6D1C"/>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807067"/>
    <w:multiLevelType w:val="hybridMultilevel"/>
    <w:tmpl w:val="93EAE4DE"/>
    <w:lvl w:ilvl="0" w:tplc="C7860C4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10"/>
  </w:num>
  <w:num w:numId="2">
    <w:abstractNumId w:val="6"/>
  </w:num>
  <w:num w:numId="3">
    <w:abstractNumId w:val="4"/>
  </w:num>
  <w:num w:numId="4">
    <w:abstractNumId w:val="16"/>
  </w:num>
  <w:num w:numId="5">
    <w:abstractNumId w:val="15"/>
  </w:num>
  <w:num w:numId="6">
    <w:abstractNumId w:val="11"/>
  </w:num>
  <w:num w:numId="7">
    <w:abstractNumId w:val="5"/>
  </w:num>
  <w:num w:numId="8">
    <w:abstractNumId w:val="2"/>
  </w:num>
  <w:num w:numId="9">
    <w:abstractNumId w:val="1"/>
  </w:num>
  <w:num w:numId="10">
    <w:abstractNumId w:val="0"/>
  </w:num>
  <w:num w:numId="11">
    <w:abstractNumId w:val="9"/>
  </w:num>
  <w:num w:numId="12">
    <w:abstractNumId w:val="8"/>
  </w:num>
  <w:num w:numId="13">
    <w:abstractNumId w:val="12"/>
  </w:num>
  <w:num w:numId="14">
    <w:abstractNumId w:val="7"/>
  </w:num>
  <w:num w:numId="15">
    <w:abstractNumId w:val="17"/>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6717B"/>
    <w:rsid w:val="00092B0C"/>
    <w:rsid w:val="000B1310"/>
    <w:rsid w:val="000B3320"/>
    <w:rsid w:val="000F32DC"/>
    <w:rsid w:val="00124F73"/>
    <w:rsid w:val="00126703"/>
    <w:rsid w:val="00152E3D"/>
    <w:rsid w:val="00157C35"/>
    <w:rsid w:val="00195B38"/>
    <w:rsid w:val="00201910"/>
    <w:rsid w:val="00212ED8"/>
    <w:rsid w:val="00242443"/>
    <w:rsid w:val="002665DE"/>
    <w:rsid w:val="002750C6"/>
    <w:rsid w:val="002A2889"/>
    <w:rsid w:val="002D6141"/>
    <w:rsid w:val="00312989"/>
    <w:rsid w:val="0036504A"/>
    <w:rsid w:val="003E5C68"/>
    <w:rsid w:val="004116AC"/>
    <w:rsid w:val="0045043D"/>
    <w:rsid w:val="004716EC"/>
    <w:rsid w:val="00472038"/>
    <w:rsid w:val="00535033"/>
    <w:rsid w:val="00573184"/>
    <w:rsid w:val="00595EC0"/>
    <w:rsid w:val="005E1D16"/>
    <w:rsid w:val="005E4342"/>
    <w:rsid w:val="00675795"/>
    <w:rsid w:val="0068275D"/>
    <w:rsid w:val="006C044A"/>
    <w:rsid w:val="00702DE2"/>
    <w:rsid w:val="0072322C"/>
    <w:rsid w:val="00776F19"/>
    <w:rsid w:val="007818C1"/>
    <w:rsid w:val="007C6993"/>
    <w:rsid w:val="007D2A1B"/>
    <w:rsid w:val="008311FE"/>
    <w:rsid w:val="008345EC"/>
    <w:rsid w:val="008A23AC"/>
    <w:rsid w:val="008D4CC1"/>
    <w:rsid w:val="009038F1"/>
    <w:rsid w:val="0096350E"/>
    <w:rsid w:val="009A7876"/>
    <w:rsid w:val="009B5FAF"/>
    <w:rsid w:val="009C6BB7"/>
    <w:rsid w:val="009F600C"/>
    <w:rsid w:val="00A42331"/>
    <w:rsid w:val="00A5572F"/>
    <w:rsid w:val="00A86FB5"/>
    <w:rsid w:val="00AD2B60"/>
    <w:rsid w:val="00AD6A0B"/>
    <w:rsid w:val="00B012BE"/>
    <w:rsid w:val="00B57C67"/>
    <w:rsid w:val="00B75081"/>
    <w:rsid w:val="00B96D24"/>
    <w:rsid w:val="00BA12BD"/>
    <w:rsid w:val="00BA3E5A"/>
    <w:rsid w:val="00BB5F7D"/>
    <w:rsid w:val="00BE5803"/>
    <w:rsid w:val="00C13183"/>
    <w:rsid w:val="00C33682"/>
    <w:rsid w:val="00C433CA"/>
    <w:rsid w:val="00C633A2"/>
    <w:rsid w:val="00CA2289"/>
    <w:rsid w:val="00CA52E6"/>
    <w:rsid w:val="00CD2BCF"/>
    <w:rsid w:val="00CD641D"/>
    <w:rsid w:val="00D04753"/>
    <w:rsid w:val="00D408CB"/>
    <w:rsid w:val="00D607BA"/>
    <w:rsid w:val="00D817D6"/>
    <w:rsid w:val="00D91E20"/>
    <w:rsid w:val="00E05B59"/>
    <w:rsid w:val="00E17A02"/>
    <w:rsid w:val="00E20F89"/>
    <w:rsid w:val="00E27F85"/>
    <w:rsid w:val="00E70628"/>
    <w:rsid w:val="00E8482B"/>
    <w:rsid w:val="00E87F10"/>
    <w:rsid w:val="00EC476B"/>
    <w:rsid w:val="00EC6692"/>
    <w:rsid w:val="00ED7A46"/>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F0537A"/>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FFA74-29C4-4FE0-A405-ED253049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4202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4854</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5</cp:revision>
  <cp:lastPrinted>2015-06-15T10:39:00Z</cp:lastPrinted>
  <dcterms:created xsi:type="dcterms:W3CDTF">2025-05-16T11:59:00Z</dcterms:created>
  <dcterms:modified xsi:type="dcterms:W3CDTF">2025-10-06T17:35:00Z</dcterms:modified>
</cp:coreProperties>
</file>