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961F5A" w:rsidP="002A2889">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after="120" w:line="264" w:lineRule="auto"/>
        <w:jc w:val="both"/>
        <w:rPr>
          <w:rFonts w:ascii="Calibri" w:hAnsi="Calibri" w:cs="Calibri"/>
          <w:b/>
          <w:bCs/>
          <w:color w:val="000000"/>
          <w:lang w:eastAsia="zh-CN"/>
        </w:rPr>
      </w:pPr>
      <w:bookmarkStart w:id="0" w:name="_GoBack"/>
      <w:r w:rsidRPr="00961F5A">
        <w:rPr>
          <w:rFonts w:ascii="Calibri" w:hAnsi="Calibri" w:cs="Calibri"/>
          <w:b/>
          <w:bCs/>
          <w:color w:val="000000"/>
          <w:lang w:eastAsia="zh-CN"/>
        </w:rPr>
        <w:t xml:space="preserve">Idee eines möglichen ganzheitlichen Welt-, Menschen- und </w:t>
      </w:r>
      <w:r>
        <w:rPr>
          <w:rFonts w:ascii="Calibri" w:hAnsi="Calibri" w:cs="Calibri"/>
          <w:b/>
          <w:bCs/>
          <w:color w:val="000000"/>
          <w:lang w:eastAsia="zh-CN"/>
        </w:rPr>
        <w:t>"</w:t>
      </w:r>
      <w:r w:rsidRPr="00961F5A">
        <w:rPr>
          <w:rFonts w:ascii="Calibri" w:hAnsi="Calibri" w:cs="Calibri"/>
          <w:b/>
          <w:bCs/>
          <w:color w:val="000000"/>
          <w:lang w:eastAsia="zh-CN"/>
        </w:rPr>
        <w:t>Gottes</w:t>
      </w:r>
      <w:r>
        <w:rPr>
          <w:rFonts w:ascii="Calibri" w:hAnsi="Calibri" w:cs="Calibri"/>
          <w:b/>
          <w:bCs/>
          <w:color w:val="000000"/>
          <w:lang w:eastAsia="zh-CN"/>
        </w:rPr>
        <w:t>"</w:t>
      </w:r>
      <w:r w:rsidRPr="00961F5A">
        <w:rPr>
          <w:rFonts w:ascii="Calibri" w:hAnsi="Calibri" w:cs="Calibri"/>
          <w:b/>
          <w:bCs/>
          <w:color w:val="000000"/>
          <w:lang w:eastAsia="zh-CN"/>
        </w:rPr>
        <w:t>bildes</w:t>
      </w:r>
    </w:p>
    <w:bookmarkEnd w:id="0"/>
    <w:p w:rsidR="00961F5A" w:rsidRPr="00961F5A" w:rsidRDefault="00961F5A" w:rsidP="00961F5A">
      <w:pPr>
        <w:spacing w:after="120" w:line="264" w:lineRule="auto"/>
        <w:jc w:val="both"/>
        <w:rPr>
          <w:rFonts w:ascii="Calibri" w:hAnsi="Calibri" w:cs="Calibri"/>
          <w:color w:val="000000"/>
          <w:szCs w:val="22"/>
          <w:lang w:eastAsia="zh-CN"/>
        </w:rPr>
      </w:pPr>
      <w:r w:rsidRPr="00961F5A">
        <w:rPr>
          <w:rFonts w:ascii="Calibri" w:hAnsi="Calibri" w:cs="Calibri"/>
          <w:color w:val="000000"/>
          <w:szCs w:val="22"/>
          <w:lang w:eastAsia="zh-CN"/>
        </w:rPr>
        <w:t>Was ist der Sinn unseres Daseins? Wie lässt sich der Glaube an eine höhere Wirklichkeit mit wissenschaftlichem Denken und spiritueller Erfahrung zusammendenken? Der abschließende Baustein des eniri.KULTURA-Projekts wagt eine Antwort auf diese Fragen – nicht im dogmatischen Sinne, sondern als Suchbewegung in Richtung eines neuen, ganzheitlichen Verständnisses von Welt, Mensch und Transzendenz.</w:t>
      </w:r>
    </w:p>
    <w:p w:rsidR="00961F5A" w:rsidRPr="00961F5A" w:rsidRDefault="00961F5A" w:rsidP="00961F5A">
      <w:pPr>
        <w:spacing w:after="120" w:line="264" w:lineRule="auto"/>
        <w:jc w:val="both"/>
        <w:rPr>
          <w:rFonts w:ascii="Calibri" w:hAnsi="Calibri" w:cs="Calibri"/>
          <w:color w:val="000000"/>
          <w:szCs w:val="22"/>
          <w:lang w:eastAsia="zh-CN"/>
        </w:rPr>
      </w:pPr>
      <w:r w:rsidRPr="00961F5A">
        <w:rPr>
          <w:rFonts w:ascii="Calibri" w:hAnsi="Calibri" w:cs="Calibri"/>
          <w:color w:val="000000"/>
          <w:szCs w:val="22"/>
          <w:lang w:eastAsia="zh-CN"/>
        </w:rPr>
        <w:t xml:space="preserve">Ausgangspunkt ist die Erkenntnis, dass Religion und Spiritualität historisch gesehen eine doppelte Rolle spielen: Einerseits geben sie Orientierung, schaffen Sinn, stiften Gemeinschaft. Andererseits wurden sie oft für Ausgrenzung, Machtmissbrauch und die Legitimation sozialer Ungleichheit instrumentalisiert. </w:t>
      </w:r>
      <w:r w:rsidR="00CF6E7B">
        <w:rPr>
          <w:rFonts w:ascii="Calibri" w:hAnsi="Calibri" w:cs="Calibri"/>
          <w:color w:val="000000"/>
          <w:szCs w:val="22"/>
          <w:lang w:eastAsia="zh-CN"/>
        </w:rPr>
        <w:br/>
      </w:r>
      <w:r w:rsidRPr="00961F5A">
        <w:rPr>
          <w:rFonts w:ascii="Calibri" w:hAnsi="Calibri" w:cs="Calibri"/>
          <w:color w:val="000000"/>
          <w:szCs w:val="22"/>
          <w:lang w:eastAsia="zh-CN"/>
        </w:rPr>
        <w:t>Emile Durkheim und Max Weber haben in ihrer Soziologie der Religion früh darauf hingewiesen: Religion ist nicht nur eine Glaubensfrage – sie ist auch eine soziale Struktur, eine Form der Integration oder der Herrschaft. Glaubenssysteme formen Gesellschaften – und werden von ihnen zugleich geformt.</w:t>
      </w:r>
    </w:p>
    <w:p w:rsidR="00961F5A" w:rsidRPr="00961F5A" w:rsidRDefault="00961F5A" w:rsidP="00961F5A">
      <w:pPr>
        <w:spacing w:after="120" w:line="264" w:lineRule="auto"/>
        <w:jc w:val="both"/>
        <w:rPr>
          <w:rFonts w:ascii="Calibri" w:hAnsi="Calibri" w:cs="Calibri"/>
          <w:color w:val="000000"/>
          <w:szCs w:val="22"/>
          <w:lang w:eastAsia="zh-CN"/>
        </w:rPr>
      </w:pPr>
      <w:r w:rsidRPr="00961F5A">
        <w:rPr>
          <w:rFonts w:ascii="Calibri" w:hAnsi="Calibri" w:cs="Calibri"/>
          <w:color w:val="000000"/>
          <w:szCs w:val="22"/>
          <w:lang w:eastAsia="zh-CN"/>
        </w:rPr>
        <w:t>Doch das Bedürfnis nach spiritueller Erfahrung, nach Verbindung mit einem größeren Ganzen, bleibt bestehen. Die religiösen Vorstellungen der großen Weltreligionen – Christentum, Judentum, Islam, Hinduismus, Buddhismus – zeigen dies in vielfältiger Weise. Sie unterscheiden sich in ihren Gottesbildern und Heilslehren, teilen aber auch zentrale Überzeugungen: die Vorstellung eines Lebens nach dem Tod, die Bedeutung des tugendhaften Handelns und das Streben nach Erlösung. Zugleich zeigt sich in allen eine gewisse Ambivalenz – zwischen innerer Wahrheitssuche und äußerer Dogmatik, zwischen Trost und Kontrolle, zwischen Transzendenz und Machtanspruch.</w:t>
      </w:r>
    </w:p>
    <w:p w:rsidR="00961F5A" w:rsidRPr="00961F5A" w:rsidRDefault="00961F5A" w:rsidP="00961F5A">
      <w:pPr>
        <w:spacing w:after="120" w:line="264" w:lineRule="auto"/>
        <w:jc w:val="both"/>
        <w:rPr>
          <w:rFonts w:ascii="Calibri" w:hAnsi="Calibri" w:cs="Calibri"/>
          <w:color w:val="000000"/>
          <w:szCs w:val="22"/>
          <w:lang w:eastAsia="zh-CN"/>
        </w:rPr>
      </w:pPr>
      <w:r w:rsidRPr="00961F5A">
        <w:rPr>
          <w:rFonts w:ascii="Calibri" w:hAnsi="Calibri" w:cs="Calibri"/>
          <w:color w:val="000000"/>
          <w:szCs w:val="22"/>
          <w:lang w:eastAsia="zh-CN"/>
        </w:rPr>
        <w:t>Das eniri.KULTURA-Projekt schlägt vor, diesen Spannungsbogen zu lösen, ohne die spirituelle Dimension aufzugeben. Es entwirft – auf Grundlage moderner Erfahrungsberichte (z.B. Nahtoderfahrungen), quanten</w:t>
      </w:r>
      <w:r w:rsidR="00CF6E7B">
        <w:rPr>
          <w:rFonts w:ascii="Calibri" w:hAnsi="Calibri" w:cs="Calibri"/>
          <w:color w:val="000000"/>
          <w:szCs w:val="22"/>
          <w:lang w:eastAsia="zh-CN"/>
        </w:rPr>
        <w:t>theoret</w:t>
      </w:r>
      <w:r w:rsidRPr="00961F5A">
        <w:rPr>
          <w:rFonts w:ascii="Calibri" w:hAnsi="Calibri" w:cs="Calibri"/>
          <w:color w:val="000000"/>
          <w:szCs w:val="22"/>
          <w:lang w:eastAsia="zh-CN"/>
        </w:rPr>
        <w:t xml:space="preserve">ischer Modelle und philosophischer Reflexionen – die Idee eines neuen, möglichen Weltbildes: eines Zwei-Ebenen-Modells von Wirklichkeit, das zwischen sichtbarer, lokaler Realität </w:t>
      </w:r>
      <w:r w:rsidR="00CF6E7B">
        <w:rPr>
          <w:rFonts w:ascii="Calibri" w:hAnsi="Calibri" w:cs="Calibri"/>
          <w:color w:val="000000"/>
          <w:szCs w:val="22"/>
          <w:lang w:eastAsia="zh-CN"/>
        </w:rPr>
        <w:t xml:space="preserve">(der »Welt des Lebendigen«) </w:t>
      </w:r>
      <w:r w:rsidRPr="00961F5A">
        <w:rPr>
          <w:rFonts w:ascii="Calibri" w:hAnsi="Calibri" w:cs="Calibri"/>
          <w:color w:val="000000"/>
          <w:szCs w:val="22"/>
          <w:lang w:eastAsia="zh-CN"/>
        </w:rPr>
        <w:t xml:space="preserve">und einer unsichtbaren, nicht-lokalen Dimension </w:t>
      </w:r>
      <w:r w:rsidR="00CF6E7B">
        <w:rPr>
          <w:rFonts w:ascii="Calibri" w:hAnsi="Calibri" w:cs="Calibri"/>
          <w:color w:val="000000"/>
          <w:szCs w:val="22"/>
          <w:lang w:eastAsia="zh-CN"/>
        </w:rPr>
        <w:t xml:space="preserve">(der »Welt des Möglichen«) </w:t>
      </w:r>
      <w:r w:rsidRPr="00961F5A">
        <w:rPr>
          <w:rFonts w:ascii="Calibri" w:hAnsi="Calibri" w:cs="Calibri"/>
          <w:color w:val="000000"/>
          <w:szCs w:val="22"/>
          <w:lang w:eastAsia="zh-CN"/>
        </w:rPr>
        <w:t>vermittelt. In dieser Konzeption ist das Bewusstsein kein rein individuelles Produkt des Gehirns, sondern ein transzendentes Kontinuum, das mit der Struktur der Wirklichkeit selbst verschränkt ist.</w:t>
      </w:r>
    </w:p>
    <w:p w:rsidR="00961F5A" w:rsidRPr="00961F5A" w:rsidRDefault="00961F5A" w:rsidP="00961F5A">
      <w:pPr>
        <w:spacing w:after="120" w:line="264" w:lineRule="auto"/>
        <w:jc w:val="both"/>
        <w:rPr>
          <w:rFonts w:ascii="Calibri" w:hAnsi="Calibri" w:cs="Calibri"/>
          <w:color w:val="000000"/>
          <w:szCs w:val="22"/>
          <w:lang w:eastAsia="zh-CN"/>
        </w:rPr>
      </w:pPr>
      <w:r w:rsidRPr="00961F5A">
        <w:rPr>
          <w:rFonts w:ascii="Calibri" w:hAnsi="Calibri" w:cs="Calibri"/>
          <w:color w:val="000000"/>
          <w:szCs w:val="22"/>
          <w:lang w:eastAsia="zh-CN"/>
        </w:rPr>
        <w:t xml:space="preserve">Der Codex Orbis Infinitate (COI) spielt dabei eine zentrale Rolle: Er bietet eine neue spirituelle Grundlage jenseits traditioneller Religionen – ohne Absolutheitsanspruch, ohne Ausschluss. Er erkennt das Bedürfnis des Menschen nach Sinn an, verbindet es aber mit einer Öffnung für naturwissenschaftliche Erkenntnisse und persönliche Erfahrungen. Der Mensch wird nicht mehr als Sünder oder defizitäres Wesen gedacht, sondern als Teil eines größeren evolutionären Prozesses: ein Wesen zwischen lokaler Existenz und nicht-lokalem Bewusstsein, zwischen materiellem Körper und geistiger Energie. Diese Sichtweise mündet im Ideal des </w:t>
      </w:r>
      <w:r w:rsidR="00CF6E7B">
        <w:rPr>
          <w:rFonts w:ascii="Calibri" w:hAnsi="Calibri" w:cs="Calibri"/>
          <w:color w:val="000000"/>
          <w:szCs w:val="22"/>
          <w:lang w:eastAsia="zh-CN"/>
        </w:rPr>
        <w:t>»</w:t>
      </w:r>
      <w:r w:rsidRPr="00961F5A">
        <w:rPr>
          <w:rFonts w:ascii="Calibri" w:hAnsi="Calibri" w:cs="Calibri"/>
          <w:color w:val="000000"/>
          <w:szCs w:val="22"/>
          <w:lang w:eastAsia="zh-CN"/>
        </w:rPr>
        <w:t>Homo Integralis</w:t>
      </w:r>
      <w:r w:rsidR="00CF6E7B">
        <w:rPr>
          <w:rFonts w:ascii="Calibri" w:hAnsi="Calibri" w:cs="Calibri"/>
          <w:color w:val="000000"/>
          <w:szCs w:val="22"/>
          <w:lang w:eastAsia="zh-CN"/>
        </w:rPr>
        <w:t>«</w:t>
      </w:r>
      <w:r w:rsidRPr="00961F5A">
        <w:rPr>
          <w:rFonts w:ascii="Calibri" w:hAnsi="Calibri" w:cs="Calibri"/>
          <w:color w:val="000000"/>
          <w:szCs w:val="22"/>
          <w:lang w:eastAsia="zh-CN"/>
        </w:rPr>
        <w:t xml:space="preserve"> – eines Menschen, der in sich die Verbindung von Wissenschaft, Weisheit und Spiritualität lebt.</w:t>
      </w:r>
    </w:p>
    <w:p w:rsidR="00961F5A" w:rsidRPr="00961F5A" w:rsidRDefault="00961F5A" w:rsidP="00961F5A">
      <w:pPr>
        <w:spacing w:after="120" w:line="264" w:lineRule="auto"/>
        <w:jc w:val="both"/>
        <w:rPr>
          <w:rFonts w:ascii="Calibri" w:hAnsi="Calibri" w:cs="Calibri"/>
          <w:color w:val="000000"/>
          <w:szCs w:val="22"/>
          <w:lang w:eastAsia="zh-CN"/>
        </w:rPr>
      </w:pPr>
      <w:r w:rsidRPr="00961F5A">
        <w:rPr>
          <w:rFonts w:ascii="Calibri" w:hAnsi="Calibri" w:cs="Calibri"/>
          <w:color w:val="000000"/>
          <w:szCs w:val="22"/>
          <w:lang w:eastAsia="zh-CN"/>
        </w:rPr>
        <w:t xml:space="preserve">Zentrales Bindeglied ist dabei die Idee einer nicht-dualen Wirklichkeit: Die sichtbare Welt ist nur ein Teilaspekt einer größeren, umfassenderen Realität, die sich uns </w:t>
      </w:r>
      <w:r w:rsidR="00CF6E7B">
        <w:rPr>
          <w:rFonts w:ascii="Calibri" w:hAnsi="Calibri" w:cs="Calibri"/>
          <w:color w:val="000000"/>
          <w:szCs w:val="22"/>
          <w:lang w:eastAsia="zh-CN"/>
        </w:rPr>
        <w:t xml:space="preserve">im Diesseits </w:t>
      </w:r>
      <w:r w:rsidRPr="00961F5A">
        <w:rPr>
          <w:rFonts w:ascii="Calibri" w:hAnsi="Calibri" w:cs="Calibri"/>
          <w:color w:val="000000"/>
          <w:szCs w:val="22"/>
          <w:lang w:eastAsia="zh-CN"/>
        </w:rPr>
        <w:t>in Momenten tiefen Bewusstseins öffnet – etwa in mystischen Erfahrungen, Nahtoderlebnissen oder intuitiver Erkenntnis. Diese Erfahrungen berichten häufig von Licht, Liebe, Präsenz, Verbindung – jenen Grundbegriffen, die in vielen Religionen auftauchen, aber nicht an eine Konfession gebunden sind.</w:t>
      </w:r>
    </w:p>
    <w:p w:rsidR="00961F5A" w:rsidRPr="00961F5A" w:rsidRDefault="00961F5A" w:rsidP="00961F5A">
      <w:pPr>
        <w:spacing w:after="120" w:line="264" w:lineRule="auto"/>
        <w:jc w:val="both"/>
        <w:rPr>
          <w:rFonts w:ascii="Calibri" w:hAnsi="Calibri" w:cs="Calibri"/>
          <w:color w:val="000000"/>
          <w:szCs w:val="22"/>
          <w:lang w:eastAsia="zh-CN"/>
        </w:rPr>
      </w:pPr>
      <w:r w:rsidRPr="00961F5A">
        <w:rPr>
          <w:rFonts w:ascii="Calibri" w:hAnsi="Calibri" w:cs="Calibri"/>
          <w:color w:val="000000"/>
          <w:szCs w:val="22"/>
          <w:lang w:eastAsia="zh-CN"/>
        </w:rPr>
        <w:lastRenderedPageBreak/>
        <w:t>Die Verbindung zur Quantenbiologie dient im Projekt nicht als Beweis, sondern als Denkfigur: Die Übergänge zwischen Möglichkeit und Wirklichkeit, zwischen Verschränkung und Manifestation zeigen, dass das Universum nicht starr ist, sondern offen, beweglich, bewusstseinsfähig. Die Welt des Möglichen – das "Unmanifestierte" – durchdringt die Welt des Lebendigen. In dieser Sicht entsteht ein ganzheitliches Gottesbild, das nicht anthropomorph gedacht ist, sondern als bedingungslose Liebe, als Schöpfungsenergie, als Ursprung und Ziel allen Seins. Gott ist nicht mehr außen, sondern innen – nicht jenseits, sondern mitten in der Welt</w:t>
      </w:r>
      <w:r w:rsidR="0032223D">
        <w:rPr>
          <w:rFonts w:ascii="Calibri" w:hAnsi="Calibri" w:cs="Calibri"/>
          <w:color w:val="000000"/>
          <w:szCs w:val="22"/>
          <w:lang w:eastAsia="zh-CN"/>
        </w:rPr>
        <w:t>, mitten in uns</w:t>
      </w:r>
      <w:r w:rsidRPr="00961F5A">
        <w:rPr>
          <w:rFonts w:ascii="Calibri" w:hAnsi="Calibri" w:cs="Calibri"/>
          <w:color w:val="000000"/>
          <w:szCs w:val="22"/>
          <w:lang w:eastAsia="zh-CN"/>
        </w:rPr>
        <w:t>.</w:t>
      </w:r>
    </w:p>
    <w:p w:rsidR="002A2889" w:rsidRDefault="00961F5A" w:rsidP="00961F5A">
      <w:pPr>
        <w:spacing w:after="360" w:line="264" w:lineRule="auto"/>
        <w:jc w:val="both"/>
        <w:rPr>
          <w:rFonts w:ascii="Calibri" w:hAnsi="Calibri" w:cs="Calibri"/>
          <w:color w:val="000000"/>
          <w:szCs w:val="22"/>
          <w:lang w:eastAsia="zh-CN"/>
        </w:rPr>
      </w:pPr>
      <w:r w:rsidRPr="00961F5A">
        <w:rPr>
          <w:rFonts w:ascii="Calibri" w:hAnsi="Calibri" w:cs="Calibri"/>
          <w:color w:val="000000"/>
          <w:szCs w:val="22"/>
          <w:lang w:eastAsia="zh-CN"/>
        </w:rPr>
        <w:t>Dieses neue Weltbild ist nicht abgeschlossen. Es lädt ein zur Mitgestaltung. Es öffnet Räume für eine Spiritualität der Verbindung – mit anderen Menschen, mit der Natur, mit dem eigenen innersten Wesen. Und es stellt eine entscheidende Frage in den Raum: Wollen wir weiterleben in einer Welt der Trennung, der Angst, der Gegensätze? Oder sind wir bereit, die Tür zu öffnen zu einer umfassenderen Realität, in der wir erkennen, dass alles mit allem verbunden ist – und wir selbst Teil dieser Verbindung sind?</w:t>
      </w:r>
    </w:p>
    <w:p w:rsidR="00EC476B" w:rsidRDefault="00EC476B" w:rsidP="002A2889">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default" r:id="rId8"/>
      <w:footerReference w:type="even" r:id="rId9"/>
      <w:footerReference w:type="default" r:id="rId10"/>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B76" w:rsidRDefault="00DF4B76">
      <w:r>
        <w:separator/>
      </w:r>
    </w:p>
  </w:endnote>
  <w:endnote w:type="continuationSeparator" w:id="0">
    <w:p w:rsidR="00DF4B76" w:rsidRDefault="00DF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B76" w:rsidRDefault="00DF4B76">
      <w:r>
        <w:separator/>
      </w:r>
    </w:p>
  </w:footnote>
  <w:footnote w:type="continuationSeparator" w:id="0">
    <w:p w:rsidR="00DF4B76" w:rsidRDefault="00DF4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BA12BD" w:rsidP="00702DE2">
    <w:pPr>
      <w:pStyle w:val="Kopfzeile"/>
      <w:jc w:val="right"/>
    </w:pPr>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744E17">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25301"/>
    <w:multiLevelType w:val="hybridMultilevel"/>
    <w:tmpl w:val="4BB61840"/>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8"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9"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3" w15:restartNumberingAfterBreak="0">
    <w:nsid w:val="4E264010"/>
    <w:multiLevelType w:val="hybridMultilevel"/>
    <w:tmpl w:val="C99E6D1C"/>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807067"/>
    <w:multiLevelType w:val="hybridMultilevel"/>
    <w:tmpl w:val="93EAE4DE"/>
    <w:lvl w:ilvl="0" w:tplc="C7860C4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10"/>
  </w:num>
  <w:num w:numId="2">
    <w:abstractNumId w:val="6"/>
  </w:num>
  <w:num w:numId="3">
    <w:abstractNumId w:val="4"/>
  </w:num>
  <w:num w:numId="4">
    <w:abstractNumId w:val="16"/>
  </w:num>
  <w:num w:numId="5">
    <w:abstractNumId w:val="15"/>
  </w:num>
  <w:num w:numId="6">
    <w:abstractNumId w:val="11"/>
  </w:num>
  <w:num w:numId="7">
    <w:abstractNumId w:val="5"/>
  </w:num>
  <w:num w:numId="8">
    <w:abstractNumId w:val="2"/>
  </w:num>
  <w:num w:numId="9">
    <w:abstractNumId w:val="1"/>
  </w:num>
  <w:num w:numId="10">
    <w:abstractNumId w:val="0"/>
  </w:num>
  <w:num w:numId="11">
    <w:abstractNumId w:val="9"/>
  </w:num>
  <w:num w:numId="12">
    <w:abstractNumId w:val="8"/>
  </w:num>
  <w:num w:numId="13">
    <w:abstractNumId w:val="12"/>
  </w:num>
  <w:num w:numId="14">
    <w:abstractNumId w:val="7"/>
  </w:num>
  <w:num w:numId="15">
    <w:abstractNumId w:val="17"/>
  </w:num>
  <w:num w:numId="16">
    <w:abstractNumId w:val="3"/>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1DC5"/>
    <w:rsid w:val="00023921"/>
    <w:rsid w:val="00092B0C"/>
    <w:rsid w:val="000B1310"/>
    <w:rsid w:val="000B3320"/>
    <w:rsid w:val="000F32DC"/>
    <w:rsid w:val="00124F73"/>
    <w:rsid w:val="00126703"/>
    <w:rsid w:val="00152E3D"/>
    <w:rsid w:val="00157C35"/>
    <w:rsid w:val="00195B38"/>
    <w:rsid w:val="00201910"/>
    <w:rsid w:val="00212ED8"/>
    <w:rsid w:val="00213634"/>
    <w:rsid w:val="00242443"/>
    <w:rsid w:val="002665DE"/>
    <w:rsid w:val="002750C6"/>
    <w:rsid w:val="002A2889"/>
    <w:rsid w:val="002D6141"/>
    <w:rsid w:val="00312989"/>
    <w:rsid w:val="0032223D"/>
    <w:rsid w:val="0036504A"/>
    <w:rsid w:val="003E5C68"/>
    <w:rsid w:val="004116AC"/>
    <w:rsid w:val="0045043D"/>
    <w:rsid w:val="004716EC"/>
    <w:rsid w:val="00472038"/>
    <w:rsid w:val="00535033"/>
    <w:rsid w:val="00573184"/>
    <w:rsid w:val="00595EC0"/>
    <w:rsid w:val="005D7FCD"/>
    <w:rsid w:val="005E1D16"/>
    <w:rsid w:val="005E4342"/>
    <w:rsid w:val="00675795"/>
    <w:rsid w:val="0068275D"/>
    <w:rsid w:val="006C044A"/>
    <w:rsid w:val="00702DE2"/>
    <w:rsid w:val="0072322C"/>
    <w:rsid w:val="00744E17"/>
    <w:rsid w:val="00776F19"/>
    <w:rsid w:val="007818C1"/>
    <w:rsid w:val="007C6993"/>
    <w:rsid w:val="007D2A1B"/>
    <w:rsid w:val="008311FE"/>
    <w:rsid w:val="008345EC"/>
    <w:rsid w:val="008A23AC"/>
    <w:rsid w:val="008D4CC1"/>
    <w:rsid w:val="00961F5A"/>
    <w:rsid w:val="0096350E"/>
    <w:rsid w:val="009A7876"/>
    <w:rsid w:val="009B5FAF"/>
    <w:rsid w:val="009C6BB7"/>
    <w:rsid w:val="009F600C"/>
    <w:rsid w:val="00A42331"/>
    <w:rsid w:val="00A5572F"/>
    <w:rsid w:val="00A86FB5"/>
    <w:rsid w:val="00AD2B60"/>
    <w:rsid w:val="00AD6A0B"/>
    <w:rsid w:val="00B012BE"/>
    <w:rsid w:val="00B57C67"/>
    <w:rsid w:val="00B75081"/>
    <w:rsid w:val="00B96D24"/>
    <w:rsid w:val="00BA12BD"/>
    <w:rsid w:val="00BA3E5A"/>
    <w:rsid w:val="00BB5F7D"/>
    <w:rsid w:val="00BE5803"/>
    <w:rsid w:val="00C13183"/>
    <w:rsid w:val="00C33682"/>
    <w:rsid w:val="00C433CA"/>
    <w:rsid w:val="00C633A2"/>
    <w:rsid w:val="00CA2289"/>
    <w:rsid w:val="00CA52E6"/>
    <w:rsid w:val="00CD2BCF"/>
    <w:rsid w:val="00CD641D"/>
    <w:rsid w:val="00CF6E7B"/>
    <w:rsid w:val="00D04753"/>
    <w:rsid w:val="00D408CB"/>
    <w:rsid w:val="00D607BA"/>
    <w:rsid w:val="00D817D6"/>
    <w:rsid w:val="00D91E20"/>
    <w:rsid w:val="00DF4B76"/>
    <w:rsid w:val="00E05B59"/>
    <w:rsid w:val="00E17A02"/>
    <w:rsid w:val="00E20F89"/>
    <w:rsid w:val="00E27F85"/>
    <w:rsid w:val="00E70628"/>
    <w:rsid w:val="00E8482B"/>
    <w:rsid w:val="00E87F10"/>
    <w:rsid w:val="00EC476B"/>
    <w:rsid w:val="00EC6692"/>
    <w:rsid w:val="00ED7A46"/>
    <w:rsid w:val="00F405D9"/>
    <w:rsid w:val="00F82210"/>
    <w:rsid w:val="00F926FF"/>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8E24B5"/>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6E018-7AC6-4D18-9972-B251C685C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4589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5267</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5</cp:revision>
  <cp:lastPrinted>2015-06-15T10:39:00Z</cp:lastPrinted>
  <dcterms:created xsi:type="dcterms:W3CDTF">2025-05-16T12:07:00Z</dcterms:created>
  <dcterms:modified xsi:type="dcterms:W3CDTF">2025-10-06T17:39:00Z</dcterms:modified>
</cp:coreProperties>
</file>