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E20F89" w:rsidP="000B3320">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before="120" w:after="120" w:line="360" w:lineRule="auto"/>
        <w:jc w:val="both"/>
        <w:rPr>
          <w:rFonts w:ascii="Calibri" w:hAnsi="Calibri" w:cs="Calibri"/>
          <w:b/>
          <w:bCs/>
          <w:color w:val="000000"/>
          <w:lang w:eastAsia="zh-CN"/>
        </w:rPr>
      </w:pPr>
      <w:r w:rsidRPr="00DA5AEB">
        <w:rPr>
          <w:rFonts w:ascii="Calibri" w:hAnsi="Calibri" w:cs="Calibri"/>
          <w:b/>
          <w:bCs/>
          <w:color w:val="000000"/>
          <w:lang w:eastAsia="zh-CN"/>
        </w:rPr>
        <w:t>12.000 – Unser langer Weg in die Gesellschaft des Gegeneinanders</w:t>
      </w:r>
    </w:p>
    <w:p w:rsidR="00EC476B" w:rsidRPr="00320AF2" w:rsidRDefault="00EC476B" w:rsidP="00EC476B">
      <w:pPr>
        <w:spacing w:after="120" w:line="264" w:lineRule="auto"/>
        <w:jc w:val="both"/>
        <w:rPr>
          <w:rFonts w:ascii="Calibri" w:hAnsi="Calibri" w:cs="Calibri"/>
          <w:color w:val="000000"/>
          <w:szCs w:val="22"/>
          <w:lang w:eastAsia="zh-CN"/>
        </w:rPr>
      </w:pPr>
      <w:r w:rsidRPr="00320AF2">
        <w:rPr>
          <w:rFonts w:ascii="Calibri" w:hAnsi="Calibri" w:cs="Calibri"/>
          <w:color w:val="000000"/>
          <w:szCs w:val="22"/>
          <w:lang w:eastAsia="zh-CN"/>
        </w:rPr>
        <w:t>Was, wenn die Welt, wie wir sie kennen, auf einem Irrtum beruht?</w:t>
      </w:r>
      <w:r>
        <w:rPr>
          <w:rFonts w:ascii="Calibri" w:hAnsi="Calibri" w:cs="Calibri"/>
          <w:color w:val="000000"/>
          <w:szCs w:val="22"/>
          <w:lang w:eastAsia="zh-CN"/>
        </w:rPr>
        <w:t xml:space="preserve"> </w:t>
      </w:r>
      <w:r w:rsidRPr="00320AF2">
        <w:rPr>
          <w:rFonts w:ascii="Calibri" w:hAnsi="Calibri" w:cs="Calibri"/>
          <w:color w:val="000000"/>
          <w:szCs w:val="22"/>
          <w:lang w:eastAsia="zh-CN"/>
        </w:rPr>
        <w:t xml:space="preserve">Die Vorstellung, dass Hierarchie, Wettbewerb und Eigentum </w:t>
      </w:r>
      <w:r>
        <w:rPr>
          <w:rFonts w:ascii="Calibri" w:hAnsi="Calibri" w:cs="Calibri"/>
          <w:color w:val="000000"/>
          <w:szCs w:val="22"/>
          <w:lang w:eastAsia="zh-CN"/>
        </w:rPr>
        <w:t>"</w:t>
      </w:r>
      <w:r w:rsidRPr="00320AF2">
        <w:rPr>
          <w:rFonts w:ascii="Calibri" w:hAnsi="Calibri" w:cs="Calibri"/>
          <w:color w:val="000000"/>
          <w:szCs w:val="22"/>
          <w:lang w:eastAsia="zh-CN"/>
        </w:rPr>
        <w:t>natürlich</w:t>
      </w:r>
      <w:r>
        <w:rPr>
          <w:rFonts w:ascii="Calibri" w:hAnsi="Calibri" w:cs="Calibri"/>
          <w:color w:val="000000"/>
          <w:szCs w:val="22"/>
          <w:lang w:eastAsia="zh-CN"/>
        </w:rPr>
        <w:t>"</w:t>
      </w:r>
      <w:r w:rsidRPr="00320AF2">
        <w:rPr>
          <w:rFonts w:ascii="Calibri" w:hAnsi="Calibri" w:cs="Calibri"/>
          <w:color w:val="000000"/>
          <w:szCs w:val="22"/>
          <w:lang w:eastAsia="zh-CN"/>
        </w:rPr>
        <w:t xml:space="preserve"> seien, bestimmt unser Denken – doch ein Blick in die Tiefen der Menschheitsgeschichte offenbart ein anderes Bild. Fast 300.000 Jahre lang lebten wir in kleinen Gemeinschaften ohne Privateigentum, ohne Herrscher, ohne soziale Ungleichheit. Es war ei</w:t>
      </w:r>
      <w:bookmarkStart w:id="0" w:name="_GoBack"/>
      <w:bookmarkEnd w:id="0"/>
      <w:r w:rsidRPr="00320AF2">
        <w:rPr>
          <w:rFonts w:ascii="Calibri" w:hAnsi="Calibri" w:cs="Calibri"/>
          <w:color w:val="000000"/>
          <w:szCs w:val="22"/>
          <w:lang w:eastAsia="zh-CN"/>
        </w:rPr>
        <w:t>ne Welt des Miteinanders, getragen von Kooperation, Gleichberechtigung und geteilter Verantwortung.</w:t>
      </w:r>
    </w:p>
    <w:p w:rsidR="00EC476B" w:rsidRPr="00320AF2" w:rsidRDefault="00EC476B" w:rsidP="00EC476B">
      <w:pPr>
        <w:spacing w:after="120" w:line="264" w:lineRule="auto"/>
        <w:jc w:val="both"/>
        <w:rPr>
          <w:rFonts w:ascii="Calibri" w:hAnsi="Calibri" w:cs="Calibri"/>
          <w:color w:val="000000"/>
          <w:szCs w:val="22"/>
          <w:lang w:eastAsia="zh-CN"/>
        </w:rPr>
      </w:pPr>
      <w:r w:rsidRPr="00320AF2">
        <w:rPr>
          <w:rFonts w:ascii="Calibri" w:hAnsi="Calibri" w:cs="Calibri"/>
          <w:color w:val="000000"/>
          <w:szCs w:val="22"/>
          <w:lang w:eastAsia="zh-CN"/>
        </w:rPr>
        <w:t>Erst vor rund 12.000 Jahren, mit dem Ende der Eiszeit und dem Beginn der Sesshaftigkeit, begann ein tiefgreifender Wandel: Landwirtschaft, Städte, Eigentum – und damit Hierarchien, Machtverhältnisse und soziale Spaltungen. Was als Fortschritt gilt, war auch der Beginn einer Entwicklung, die uns bis heute prägt – und trennt. Mit der Sesshaftigkeit begann nicht nur die Geschichte des Eigentums, sondern auch die Geschichte der Ungleichheit.</w:t>
      </w:r>
    </w:p>
    <w:p w:rsidR="00EC476B" w:rsidRPr="00320AF2" w:rsidRDefault="00EC476B" w:rsidP="00EC476B">
      <w:pPr>
        <w:spacing w:after="120" w:line="264" w:lineRule="auto"/>
        <w:jc w:val="both"/>
        <w:rPr>
          <w:rFonts w:ascii="Calibri" w:hAnsi="Calibri" w:cs="Calibri"/>
          <w:color w:val="000000"/>
          <w:szCs w:val="22"/>
          <w:lang w:eastAsia="zh-CN"/>
        </w:rPr>
      </w:pPr>
      <w:r w:rsidRPr="00320AF2">
        <w:rPr>
          <w:rFonts w:ascii="Calibri" w:hAnsi="Calibri" w:cs="Calibri"/>
          <w:color w:val="000000"/>
          <w:szCs w:val="22"/>
          <w:lang w:eastAsia="zh-CN"/>
        </w:rPr>
        <w:t>Der israelische Historiker Yuval Noah Harari beschreibt in </w:t>
      </w:r>
      <w:r w:rsidRPr="00320AF2">
        <w:rPr>
          <w:rFonts w:ascii="Calibri" w:hAnsi="Calibri" w:cs="Calibri"/>
          <w:i/>
          <w:iCs/>
          <w:color w:val="000000"/>
          <w:szCs w:val="22"/>
          <w:lang w:eastAsia="zh-CN"/>
        </w:rPr>
        <w:t>Homo Deus</w:t>
      </w:r>
      <w:r w:rsidRPr="00320AF2">
        <w:rPr>
          <w:rFonts w:ascii="Calibri" w:hAnsi="Calibri" w:cs="Calibri"/>
          <w:color w:val="000000"/>
          <w:szCs w:val="22"/>
          <w:lang w:eastAsia="zh-CN"/>
        </w:rPr>
        <w:t> die Entstehung eines neuen Menschheitstyps: eines Menschen, der sich selbst optimieren, beherrschen, übersteigen will – oft ohne Rücksicht auf andere oder die Natur. Zugleich zeigt der deutsche Soziologe Dirk Baecker, dass mit jedem neuen Medium – Sprache, Schrift, Buchdruck, Computer – ganze Gesellschaftsformen entstanden, deren Ordnung sich radikal veränderte. Heute stehen wir erneut an einer Schwelle: Die digitale Gesellschaft braucht ein neues Fundament – oder sie zerfällt.</w:t>
      </w:r>
    </w:p>
    <w:p w:rsidR="00EC476B" w:rsidRPr="00320AF2" w:rsidRDefault="00EC476B" w:rsidP="00EC476B">
      <w:pPr>
        <w:spacing w:after="120" w:line="264" w:lineRule="auto"/>
        <w:jc w:val="both"/>
        <w:rPr>
          <w:rFonts w:ascii="Calibri" w:hAnsi="Calibri" w:cs="Calibri"/>
          <w:color w:val="000000"/>
          <w:szCs w:val="22"/>
          <w:lang w:eastAsia="zh-CN"/>
        </w:rPr>
      </w:pPr>
      <w:r w:rsidRPr="00320AF2">
        <w:rPr>
          <w:rFonts w:ascii="Calibri" w:hAnsi="Calibri" w:cs="Calibri"/>
          <w:color w:val="000000"/>
          <w:szCs w:val="22"/>
          <w:lang w:eastAsia="zh-CN"/>
        </w:rPr>
        <w:t>Doch die tiefer liegende Ursache liegt weiter zurück. Die Erfindung des Eigentums brachte nicht nur Besitzsicherung, sondern auch soziale Spaltung. Der Reichtum wuchs – viele blieben zurück. Besonders dramatisch war dies für Frauen: Mit dem Aufstieg patriarchaler Gesellschaftsformen wurden sie über Jahrtausende entrechtet und ihrer ursprünglichen Gleichstellung beraubt.</w:t>
      </w:r>
    </w:p>
    <w:p w:rsidR="00EC476B" w:rsidRPr="00320AF2" w:rsidRDefault="00EC476B" w:rsidP="00EC476B">
      <w:pPr>
        <w:spacing w:after="120" w:line="264" w:lineRule="auto"/>
        <w:jc w:val="both"/>
        <w:rPr>
          <w:rFonts w:ascii="Calibri" w:hAnsi="Calibri" w:cs="Calibri"/>
          <w:color w:val="000000"/>
          <w:szCs w:val="22"/>
          <w:lang w:eastAsia="zh-CN"/>
        </w:rPr>
      </w:pPr>
      <w:r w:rsidRPr="00320AF2">
        <w:rPr>
          <w:rFonts w:ascii="Calibri" w:hAnsi="Calibri" w:cs="Calibri"/>
          <w:color w:val="000000"/>
          <w:szCs w:val="22"/>
          <w:lang w:eastAsia="zh-CN"/>
        </w:rPr>
        <w:t>Der Kapitalismus, in seiner modernen Form ein Produkt des 19. und 20. Jahrhunderts, verschärfte diese Dynamiken: Reichtum wurde zum Maßstab, Wachstum zum Dogma, Konkurrenz zur Norm. Und heute? Globale Ungleichheit, Klimakrise, soziale Isolation – wir erleben die Spätfolgen eines Systems, das auf Abgrenzung und Gegeneinander basiert.</w:t>
      </w:r>
    </w:p>
    <w:p w:rsidR="00EC476B" w:rsidRPr="00320AF2" w:rsidRDefault="00EC476B" w:rsidP="00EC476B">
      <w:pPr>
        <w:spacing w:after="360" w:line="264" w:lineRule="auto"/>
        <w:jc w:val="both"/>
        <w:rPr>
          <w:rFonts w:ascii="Calibri" w:hAnsi="Calibri" w:cs="Calibri"/>
          <w:color w:val="000000"/>
          <w:szCs w:val="22"/>
          <w:lang w:eastAsia="zh-CN"/>
        </w:rPr>
      </w:pPr>
      <w:r w:rsidRPr="00320AF2">
        <w:rPr>
          <w:rFonts w:ascii="Calibri" w:hAnsi="Calibri" w:cs="Calibri"/>
          <w:color w:val="000000"/>
          <w:szCs w:val="22"/>
          <w:lang w:eastAsia="zh-CN"/>
        </w:rPr>
        <w:t>Doch was wäre, wenn das nicht das Ende der Geschichte ist?</w:t>
      </w:r>
      <w:r>
        <w:rPr>
          <w:rFonts w:ascii="Calibri" w:hAnsi="Calibri" w:cs="Calibri"/>
          <w:color w:val="000000"/>
          <w:szCs w:val="22"/>
          <w:lang w:eastAsia="zh-CN"/>
        </w:rPr>
        <w:t xml:space="preserve"> </w:t>
      </w:r>
      <w:r w:rsidRPr="00320AF2">
        <w:rPr>
          <w:rFonts w:ascii="Calibri" w:hAnsi="Calibri" w:cs="Calibri"/>
          <w:color w:val="000000"/>
          <w:szCs w:val="22"/>
          <w:lang w:eastAsia="zh-CN"/>
        </w:rPr>
        <w:t xml:space="preserve">Was, wenn wir erkennen, dass die </w:t>
      </w:r>
      <w:r>
        <w:rPr>
          <w:rFonts w:ascii="Calibri" w:hAnsi="Calibri" w:cs="Calibri"/>
          <w:color w:val="000000"/>
          <w:szCs w:val="22"/>
          <w:lang w:eastAsia="zh-CN"/>
        </w:rPr>
        <w:t>"</w:t>
      </w:r>
      <w:r w:rsidRPr="00320AF2">
        <w:rPr>
          <w:rFonts w:ascii="Calibri" w:hAnsi="Calibri" w:cs="Calibri"/>
          <w:color w:val="000000"/>
          <w:szCs w:val="22"/>
          <w:lang w:eastAsia="zh-CN"/>
        </w:rPr>
        <w:t>Fehlstelle</w:t>
      </w:r>
      <w:r>
        <w:rPr>
          <w:rFonts w:ascii="Calibri" w:hAnsi="Calibri" w:cs="Calibri"/>
          <w:color w:val="000000"/>
          <w:szCs w:val="22"/>
          <w:lang w:eastAsia="zh-CN"/>
        </w:rPr>
        <w:t>"</w:t>
      </w:r>
      <w:r w:rsidRPr="00320AF2">
        <w:rPr>
          <w:rFonts w:ascii="Calibri" w:hAnsi="Calibri" w:cs="Calibri"/>
          <w:color w:val="000000"/>
          <w:szCs w:val="22"/>
          <w:lang w:eastAsia="zh-CN"/>
        </w:rPr>
        <w:t xml:space="preserve"> nicht im Menschen selbst liegt – sondern in einem System, das aus dem Gleichgewicht geraten ist? Dieses Kapitel lädt dazu ein, die Geschichte neu zu sehen – nicht als Fortschrittsparade, sondern als Weg mit Abzweigungen, an denen wir hätten anders handeln können. Und vielleicht noch immer können.</w:t>
      </w:r>
    </w:p>
    <w:p w:rsidR="00EC476B" w:rsidRDefault="00EC476B" w:rsidP="00EC476B">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31C" w:rsidRDefault="0055231C">
      <w:r>
        <w:separator/>
      </w:r>
    </w:p>
  </w:endnote>
  <w:endnote w:type="continuationSeparator" w:id="0">
    <w:p w:rsidR="0055231C" w:rsidRDefault="0055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31C" w:rsidRDefault="0055231C">
      <w:r>
        <w:separator/>
      </w:r>
    </w:p>
  </w:footnote>
  <w:footnote w:type="continuationSeparator" w:id="0">
    <w:p w:rsidR="0055231C" w:rsidRDefault="0055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0B3320" w:rsidP="00702DE2">
    <w:pPr>
      <w:pStyle w:val="Kopfzeile"/>
      <w:jc w:val="right"/>
    </w:pPr>
    <w:r>
      <w:rPr>
        <w:noProof/>
      </w:rPr>
      <mc:AlternateContent>
        <mc:Choice Requires="wps">
          <w:drawing>
            <wp:anchor distT="0" distB="0" distL="114300" distR="114300" simplePos="0" relativeHeight="251664384" behindDoc="0" locked="0" layoutInCell="1" allowOverlap="1">
              <wp:simplePos x="0" y="0"/>
              <wp:positionH relativeFrom="column">
                <wp:posOffset>-102036</wp:posOffset>
              </wp:positionH>
              <wp:positionV relativeFrom="paragraph">
                <wp:posOffset>155205</wp:posOffset>
              </wp:positionV>
              <wp:extent cx="6107373" cy="429905"/>
              <wp:effectExtent l="0" t="0" r="0" b="0"/>
              <wp:wrapNone/>
              <wp:docPr id="2" name="Textfeld 2"/>
              <wp:cNvGraphicFramePr/>
              <a:graphic xmlns:a="http://schemas.openxmlformats.org/drawingml/2006/main">
                <a:graphicData uri="http://schemas.microsoft.com/office/word/2010/wordprocessingShape">
                  <wps:wsp>
                    <wps:cNvSpPr txBox="1"/>
                    <wps:spPr>
                      <a:xfrm>
                        <a:off x="0" y="0"/>
                        <a:ext cx="6107373" cy="429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3320" w:rsidRPr="000B3320" w:rsidRDefault="000B3320" w:rsidP="000B3320">
                          <w:pPr>
                            <w:rPr>
                              <w:rFonts w:asciiTheme="minorHAnsi" w:hAnsiTheme="minorHAnsi" w:cstheme="minorHAnsi"/>
                              <w:sz w:val="48"/>
                              <w:szCs w:val="48"/>
                            </w:rPr>
                          </w:pPr>
                        </w:p>
                        <w:p w:rsidR="000B3320" w:rsidRPr="000B3320" w:rsidRDefault="000B3320" w:rsidP="000B3320">
                          <w:pPr>
                            <w:jc w:val="right"/>
                            <w:rPr>
                              <w:rFonts w:asciiTheme="minorHAnsi" w:hAnsiTheme="minorHAnsi" w:cstheme="minorHAnsi"/>
                              <w:color w:val="7F7F7F" w:themeColor="text1" w:themeTint="8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left:0;text-align:left;margin-left:-8.05pt;margin-top:12.2pt;width:480.9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" filled="f" stroked="f" strokeweight=".5pt">
              <v:textbox>
                <w:txbxContent>
                  <w:p w:rsidR="000B3320" w:rsidRPr="000B3320" w:rsidRDefault="000B3320" w:rsidP="000B3320">
                    <w:pPr>
                      <w:rPr>
                        <w:rFonts w:asciiTheme="minorHAnsi" w:hAnsiTheme="minorHAnsi" w:cstheme="minorHAnsi"/>
                        <w:sz w:val="48"/>
                        <w:szCs w:val="48"/>
                      </w:rPr>
                    </w:pPr>
                  </w:p>
                  <w:p w:rsidR="000B3320" w:rsidRPr="000B3320" w:rsidRDefault="000B3320" w:rsidP="000B3320">
                    <w:pPr>
                      <w:jc w:val="right"/>
                      <w:rPr>
                        <w:rFonts w:asciiTheme="minorHAnsi" w:hAnsiTheme="minorHAnsi" w:cstheme="minorHAnsi"/>
                        <w:color w:val="7F7F7F" w:themeColor="text1" w:themeTint="80"/>
                        <w:sz w:val="28"/>
                        <w:szCs w:val="28"/>
                      </w:rPr>
                    </w:pPr>
                  </w:p>
                </w:txbxContent>
              </v:textbox>
            </v:shape>
          </w:pict>
        </mc:Fallback>
      </mc:AlternateContent>
    </w: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333998">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7"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8"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9"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9"/>
  </w:num>
  <w:num w:numId="2">
    <w:abstractNumId w:val="5"/>
  </w:num>
  <w:num w:numId="3">
    <w:abstractNumId w:val="3"/>
  </w:num>
  <w:num w:numId="4">
    <w:abstractNumId w:val="13"/>
  </w:num>
  <w:num w:numId="5">
    <w:abstractNumId w:val="12"/>
  </w:num>
  <w:num w:numId="6">
    <w:abstractNumId w:val="10"/>
  </w:num>
  <w:num w:numId="7">
    <w:abstractNumId w:val="4"/>
  </w:num>
  <w:num w:numId="8">
    <w:abstractNumId w:val="2"/>
  </w:num>
  <w:num w:numId="9">
    <w:abstractNumId w:val="1"/>
  </w:num>
  <w:num w:numId="10">
    <w:abstractNumId w:val="0"/>
  </w:num>
  <w:num w:numId="11">
    <w:abstractNumId w:val="8"/>
  </w:num>
  <w:num w:numId="12">
    <w:abstractNumId w:val="7"/>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3921"/>
    <w:rsid w:val="000B3320"/>
    <w:rsid w:val="000F32DC"/>
    <w:rsid w:val="00124F73"/>
    <w:rsid w:val="00126703"/>
    <w:rsid w:val="00195B38"/>
    <w:rsid w:val="00201910"/>
    <w:rsid w:val="00242443"/>
    <w:rsid w:val="002665DE"/>
    <w:rsid w:val="002D6141"/>
    <w:rsid w:val="00333998"/>
    <w:rsid w:val="004116AC"/>
    <w:rsid w:val="0045043D"/>
    <w:rsid w:val="004716EC"/>
    <w:rsid w:val="00535033"/>
    <w:rsid w:val="0055231C"/>
    <w:rsid w:val="00573184"/>
    <w:rsid w:val="00595EC0"/>
    <w:rsid w:val="005E1D16"/>
    <w:rsid w:val="006C044A"/>
    <w:rsid w:val="00702DE2"/>
    <w:rsid w:val="007C6993"/>
    <w:rsid w:val="007D2A1B"/>
    <w:rsid w:val="008311FE"/>
    <w:rsid w:val="008A23AC"/>
    <w:rsid w:val="008D4CC1"/>
    <w:rsid w:val="009B5FAF"/>
    <w:rsid w:val="00A42331"/>
    <w:rsid w:val="00B012BE"/>
    <w:rsid w:val="00B57C67"/>
    <w:rsid w:val="00B75081"/>
    <w:rsid w:val="00B96D24"/>
    <w:rsid w:val="00BA12BD"/>
    <w:rsid w:val="00BA3E5A"/>
    <w:rsid w:val="00C13183"/>
    <w:rsid w:val="00CA2289"/>
    <w:rsid w:val="00CD641D"/>
    <w:rsid w:val="00D408CB"/>
    <w:rsid w:val="00D91E20"/>
    <w:rsid w:val="00E17A02"/>
    <w:rsid w:val="00E20F89"/>
    <w:rsid w:val="00E27F85"/>
    <w:rsid w:val="00E70628"/>
    <w:rsid w:val="00EC476B"/>
    <w:rsid w:val="00EC6692"/>
    <w:rsid w:val="00F405D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A6524E"/>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98B04-8F7B-42CA-992B-7E7C5D80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2700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3124</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4</cp:revision>
  <cp:lastPrinted>2015-06-15T10:39:00Z</cp:lastPrinted>
  <dcterms:created xsi:type="dcterms:W3CDTF">2025-05-16T08:25:00Z</dcterms:created>
  <dcterms:modified xsi:type="dcterms:W3CDTF">2025-10-06T17:07:00Z</dcterms:modified>
</cp:coreProperties>
</file>