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D607BA" w:rsidP="00D04753">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before="120" w:after="120" w:line="360" w:lineRule="auto"/>
        <w:jc w:val="both"/>
        <w:rPr>
          <w:rFonts w:ascii="Calibri" w:hAnsi="Calibri" w:cs="Calibri"/>
          <w:b/>
          <w:bCs/>
          <w:color w:val="000000"/>
          <w:lang w:eastAsia="zh-CN"/>
        </w:rPr>
      </w:pPr>
      <w:r w:rsidRPr="00D607BA">
        <w:rPr>
          <w:rFonts w:ascii="Calibri" w:hAnsi="Calibri" w:cs="Calibri"/>
          <w:b/>
          <w:bCs/>
          <w:color w:val="000000"/>
          <w:lang w:eastAsia="zh-CN"/>
        </w:rPr>
        <w:t>Das Gesellschaftsmodell Teil 3 – Regierungsstruktur und Arbeitswelt der gWG</w:t>
      </w:r>
    </w:p>
    <w:p w:rsidR="00776F19" w:rsidRPr="00776F19" w:rsidRDefault="00776F19" w:rsidP="00776F19">
      <w:pPr>
        <w:spacing w:after="120" w:line="264" w:lineRule="auto"/>
        <w:jc w:val="both"/>
        <w:rPr>
          <w:rFonts w:ascii="Calibri" w:hAnsi="Calibri" w:cs="Calibri"/>
          <w:color w:val="000000"/>
          <w:szCs w:val="22"/>
          <w:lang w:eastAsia="zh-CN"/>
        </w:rPr>
      </w:pPr>
      <w:r w:rsidRPr="00776F19">
        <w:rPr>
          <w:rFonts w:ascii="Calibri" w:hAnsi="Calibri" w:cs="Calibri"/>
          <w:color w:val="000000"/>
          <w:szCs w:val="22"/>
          <w:lang w:eastAsia="zh-CN"/>
        </w:rPr>
        <w:t>Die beiden letzten Leitprinzipien des neuen Gesellschaftsmodells führen uns in das politische und soziale Herz der ganzheitlichen WeltGesellschaft: die neue globale Regierungsstruktur und eine Arbeitswelt, die nicht mehr vom Zwang, sondern von Sinn und Freiheit geprägt ist. Während frühere politische Systeme von Konkurrenz, nationalstaatlichen Egoismen oder wirtschaftlichen Eliten geprägt waren, setzt die gWG (ganzheitliche WeltGesellschaft) auf ein vernetztes, demokratisches und ethisch ausgerichtetes Modell, das alle Menschen einbezieht.</w:t>
      </w:r>
    </w:p>
    <w:p w:rsidR="00776F19" w:rsidRPr="00776F19" w:rsidRDefault="00776F19" w:rsidP="00776F19">
      <w:pPr>
        <w:spacing w:after="120" w:line="264" w:lineRule="auto"/>
        <w:jc w:val="both"/>
        <w:rPr>
          <w:rFonts w:ascii="Calibri" w:hAnsi="Calibri" w:cs="Calibri"/>
          <w:color w:val="000000"/>
          <w:szCs w:val="22"/>
          <w:lang w:eastAsia="zh-CN"/>
        </w:rPr>
      </w:pPr>
      <w:r w:rsidRPr="00776F19">
        <w:rPr>
          <w:rFonts w:ascii="Calibri" w:hAnsi="Calibri" w:cs="Calibri"/>
          <w:color w:val="000000"/>
          <w:szCs w:val="22"/>
          <w:lang w:eastAsia="zh-CN"/>
        </w:rPr>
        <w:t xml:space="preserve">Das </w:t>
      </w:r>
      <w:r w:rsidRPr="00776F19">
        <w:rPr>
          <w:rFonts w:ascii="Calibri" w:hAnsi="Calibri" w:cs="Calibri"/>
          <w:i/>
          <w:color w:val="000000"/>
          <w:szCs w:val="22"/>
          <w:lang w:eastAsia="zh-CN"/>
        </w:rPr>
        <w:t>siebte Leitprinzip</w:t>
      </w:r>
      <w:r w:rsidRPr="00776F19">
        <w:rPr>
          <w:rFonts w:ascii="Calibri" w:hAnsi="Calibri" w:cs="Calibri"/>
          <w:color w:val="000000"/>
          <w:szCs w:val="22"/>
          <w:lang w:eastAsia="zh-CN"/>
        </w:rPr>
        <w:t xml:space="preserve"> beschreibt den Aufbau dieser neuen Regierungs- und Leitungsstruktur. Im Zentrum steht die sogenannte </w:t>
      </w:r>
      <w:r>
        <w:rPr>
          <w:rFonts w:ascii="Calibri" w:hAnsi="Calibri" w:cs="Calibri"/>
          <w:color w:val="000000"/>
          <w:szCs w:val="22"/>
          <w:lang w:eastAsia="zh-CN"/>
        </w:rPr>
        <w:t>"</w:t>
      </w:r>
      <w:r w:rsidRPr="00776F19">
        <w:rPr>
          <w:rFonts w:ascii="Calibri" w:hAnsi="Calibri" w:cs="Calibri"/>
          <w:color w:val="000000"/>
          <w:szCs w:val="22"/>
          <w:lang w:eastAsia="zh-CN"/>
        </w:rPr>
        <w:t>Global-Union</w:t>
      </w:r>
      <w:r>
        <w:rPr>
          <w:rFonts w:ascii="Calibri" w:hAnsi="Calibri" w:cs="Calibri"/>
          <w:color w:val="000000"/>
          <w:szCs w:val="22"/>
          <w:lang w:eastAsia="zh-CN"/>
        </w:rPr>
        <w:t>"</w:t>
      </w:r>
      <w:r w:rsidRPr="00776F19">
        <w:rPr>
          <w:rFonts w:ascii="Calibri" w:hAnsi="Calibri" w:cs="Calibri"/>
          <w:color w:val="000000"/>
          <w:szCs w:val="22"/>
          <w:lang w:eastAsia="zh-CN"/>
        </w:rPr>
        <w:t xml:space="preserve">, eine demokratisch gewählte Weltregierung, die weder autoritär agiert noch von Konzernen dominiert wird. Stattdessen folgt sie dem Prinzip einer vernetzten </w:t>
      </w:r>
      <w:r>
        <w:rPr>
          <w:rFonts w:ascii="Calibri" w:hAnsi="Calibri" w:cs="Calibri"/>
          <w:color w:val="000000"/>
          <w:szCs w:val="22"/>
          <w:lang w:eastAsia="zh-CN"/>
        </w:rPr>
        <w:t>"</w:t>
      </w:r>
      <w:r w:rsidRPr="00776F19">
        <w:rPr>
          <w:rFonts w:ascii="Calibri" w:hAnsi="Calibri" w:cs="Calibri"/>
          <w:color w:val="000000"/>
          <w:szCs w:val="22"/>
          <w:lang w:eastAsia="zh-CN"/>
        </w:rPr>
        <w:t>Glokalisierung</w:t>
      </w:r>
      <w:r>
        <w:rPr>
          <w:rFonts w:ascii="Calibri" w:hAnsi="Calibri" w:cs="Calibri"/>
          <w:color w:val="000000"/>
          <w:szCs w:val="22"/>
          <w:lang w:eastAsia="zh-CN"/>
        </w:rPr>
        <w:t>"</w:t>
      </w:r>
      <w:r w:rsidRPr="00776F19">
        <w:rPr>
          <w:rFonts w:ascii="Calibri" w:hAnsi="Calibri" w:cs="Calibri"/>
          <w:color w:val="000000"/>
          <w:szCs w:val="22"/>
          <w:lang w:eastAsia="zh-CN"/>
        </w:rPr>
        <w:t xml:space="preserve"> – einer Struktur, die global zusammenarbeitet und dabei regionale Vielfalt aktiv stärkt. Aufgebaut ist das Regierungssystem in vier Ebenen: von lokalen Regionalparlamenten über National- und Kontinentalregionen bis hin zum Globalparlament, das alle Entscheidungen koordiniert. Jeder Kandidat, der sich zur Wahl stellt, muss eine Eignungsprüfung bestehen, um sicherzustellen, dass Kompetenz und Gemeinwohlorientierung die politische Führung prägen.</w:t>
      </w:r>
    </w:p>
    <w:p w:rsidR="00776F19" w:rsidRPr="00776F19" w:rsidRDefault="00776F19" w:rsidP="00776F19">
      <w:pPr>
        <w:spacing w:after="120" w:line="264" w:lineRule="auto"/>
        <w:jc w:val="both"/>
        <w:rPr>
          <w:rFonts w:ascii="Calibri" w:hAnsi="Calibri" w:cs="Calibri"/>
          <w:color w:val="000000"/>
          <w:szCs w:val="22"/>
          <w:lang w:eastAsia="zh-CN"/>
        </w:rPr>
      </w:pPr>
      <w:r w:rsidRPr="00776F19">
        <w:rPr>
          <w:rFonts w:ascii="Calibri" w:hAnsi="Calibri" w:cs="Calibri"/>
          <w:color w:val="000000"/>
          <w:szCs w:val="22"/>
          <w:lang w:eastAsia="zh-CN"/>
        </w:rPr>
        <w:t xml:space="preserve">Ergänzt wird dieses System durch eine innovative Erweiterung der </w:t>
      </w:r>
      <w:r>
        <w:rPr>
          <w:rFonts w:ascii="Calibri" w:hAnsi="Calibri" w:cs="Calibri"/>
          <w:color w:val="000000"/>
          <w:szCs w:val="22"/>
          <w:lang w:eastAsia="zh-CN"/>
        </w:rPr>
        <w:t xml:space="preserve">staatlichen </w:t>
      </w:r>
      <w:r w:rsidRPr="00776F19">
        <w:rPr>
          <w:rFonts w:ascii="Calibri" w:hAnsi="Calibri" w:cs="Calibri"/>
          <w:color w:val="000000"/>
          <w:szCs w:val="22"/>
          <w:lang w:eastAsia="zh-CN"/>
        </w:rPr>
        <w:t xml:space="preserve">Gewaltenteilung. Neben </w:t>
      </w:r>
      <w:r>
        <w:rPr>
          <w:rFonts w:ascii="Calibri" w:hAnsi="Calibri" w:cs="Calibri"/>
          <w:color w:val="000000"/>
          <w:szCs w:val="22"/>
          <w:lang w:eastAsia="zh-CN"/>
        </w:rPr>
        <w:t>»</w:t>
      </w:r>
      <w:r w:rsidRPr="00776F19">
        <w:rPr>
          <w:rFonts w:ascii="Calibri" w:hAnsi="Calibri" w:cs="Calibri"/>
          <w:color w:val="000000"/>
          <w:szCs w:val="22"/>
          <w:lang w:eastAsia="zh-CN"/>
        </w:rPr>
        <w:t>Legislative</w:t>
      </w:r>
      <w:r>
        <w:rPr>
          <w:rFonts w:ascii="Calibri" w:hAnsi="Calibri" w:cs="Calibri"/>
          <w:color w:val="000000"/>
          <w:szCs w:val="22"/>
          <w:lang w:eastAsia="zh-CN"/>
        </w:rPr>
        <w:t>«</w:t>
      </w:r>
      <w:r w:rsidRPr="00776F19">
        <w:rPr>
          <w:rFonts w:ascii="Calibri" w:hAnsi="Calibri" w:cs="Calibri"/>
          <w:color w:val="000000"/>
          <w:szCs w:val="22"/>
          <w:lang w:eastAsia="zh-CN"/>
        </w:rPr>
        <w:t xml:space="preserve">, </w:t>
      </w:r>
      <w:r>
        <w:rPr>
          <w:rFonts w:ascii="Calibri" w:hAnsi="Calibri" w:cs="Calibri"/>
          <w:color w:val="000000"/>
          <w:szCs w:val="22"/>
          <w:lang w:eastAsia="zh-CN"/>
        </w:rPr>
        <w:t>»</w:t>
      </w:r>
      <w:r w:rsidRPr="00776F19">
        <w:rPr>
          <w:rFonts w:ascii="Calibri" w:hAnsi="Calibri" w:cs="Calibri"/>
          <w:color w:val="000000"/>
          <w:szCs w:val="22"/>
          <w:lang w:eastAsia="zh-CN"/>
        </w:rPr>
        <w:t>Exekutive</w:t>
      </w:r>
      <w:r>
        <w:rPr>
          <w:rFonts w:ascii="Calibri" w:hAnsi="Calibri" w:cs="Calibri"/>
          <w:color w:val="000000"/>
          <w:szCs w:val="22"/>
          <w:lang w:eastAsia="zh-CN"/>
        </w:rPr>
        <w:t>«</w:t>
      </w:r>
      <w:r w:rsidRPr="00776F19">
        <w:rPr>
          <w:rFonts w:ascii="Calibri" w:hAnsi="Calibri" w:cs="Calibri"/>
          <w:color w:val="000000"/>
          <w:szCs w:val="22"/>
          <w:lang w:eastAsia="zh-CN"/>
        </w:rPr>
        <w:t xml:space="preserve"> und </w:t>
      </w:r>
      <w:r>
        <w:rPr>
          <w:rFonts w:ascii="Calibri" w:hAnsi="Calibri" w:cs="Calibri"/>
          <w:color w:val="000000"/>
          <w:szCs w:val="22"/>
          <w:lang w:eastAsia="zh-CN"/>
        </w:rPr>
        <w:t>»</w:t>
      </w:r>
      <w:r w:rsidRPr="00776F19">
        <w:rPr>
          <w:rFonts w:ascii="Calibri" w:hAnsi="Calibri" w:cs="Calibri"/>
          <w:color w:val="000000"/>
          <w:szCs w:val="22"/>
          <w:lang w:eastAsia="zh-CN"/>
        </w:rPr>
        <w:t>Judikative</w:t>
      </w:r>
      <w:r>
        <w:rPr>
          <w:rFonts w:ascii="Calibri" w:hAnsi="Calibri" w:cs="Calibri"/>
          <w:color w:val="000000"/>
          <w:szCs w:val="22"/>
          <w:lang w:eastAsia="zh-CN"/>
        </w:rPr>
        <w:t>«,</w:t>
      </w:r>
      <w:r w:rsidRPr="00776F19">
        <w:rPr>
          <w:rFonts w:ascii="Calibri" w:hAnsi="Calibri" w:cs="Calibri"/>
          <w:color w:val="000000"/>
          <w:szCs w:val="22"/>
          <w:lang w:eastAsia="zh-CN"/>
        </w:rPr>
        <w:t xml:space="preserve"> gibt es nun auch unabhängige Gewalten für Bildung (</w:t>
      </w:r>
      <w:r>
        <w:rPr>
          <w:rFonts w:ascii="Calibri" w:hAnsi="Calibri" w:cs="Calibri"/>
          <w:color w:val="000000"/>
          <w:szCs w:val="22"/>
          <w:lang w:eastAsia="zh-CN"/>
        </w:rPr>
        <w:t>»</w:t>
      </w:r>
      <w:r w:rsidRPr="00776F19">
        <w:rPr>
          <w:rFonts w:ascii="Calibri" w:hAnsi="Calibri" w:cs="Calibri"/>
          <w:color w:val="000000"/>
          <w:szCs w:val="22"/>
          <w:lang w:eastAsia="zh-CN"/>
        </w:rPr>
        <w:t>Educative</w:t>
      </w:r>
      <w:r>
        <w:rPr>
          <w:rFonts w:ascii="Calibri" w:hAnsi="Calibri" w:cs="Calibri"/>
          <w:color w:val="000000"/>
          <w:szCs w:val="22"/>
          <w:lang w:eastAsia="zh-CN"/>
        </w:rPr>
        <w:t>«</w:t>
      </w:r>
      <w:r w:rsidRPr="00776F19">
        <w:rPr>
          <w:rFonts w:ascii="Calibri" w:hAnsi="Calibri" w:cs="Calibri"/>
          <w:color w:val="000000"/>
          <w:szCs w:val="22"/>
          <w:lang w:eastAsia="zh-CN"/>
        </w:rPr>
        <w:t>), Wissenschaft (</w:t>
      </w:r>
      <w:r>
        <w:rPr>
          <w:rFonts w:ascii="Calibri" w:hAnsi="Calibri" w:cs="Calibri"/>
          <w:color w:val="000000"/>
          <w:szCs w:val="22"/>
          <w:lang w:eastAsia="zh-CN"/>
        </w:rPr>
        <w:t>»</w:t>
      </w:r>
      <w:r w:rsidRPr="00776F19">
        <w:rPr>
          <w:rFonts w:ascii="Calibri" w:hAnsi="Calibri" w:cs="Calibri"/>
          <w:color w:val="000000"/>
          <w:szCs w:val="22"/>
          <w:lang w:eastAsia="zh-CN"/>
        </w:rPr>
        <w:t>Scientiative</w:t>
      </w:r>
      <w:r>
        <w:rPr>
          <w:rFonts w:ascii="Calibri" w:hAnsi="Calibri" w:cs="Calibri"/>
          <w:color w:val="000000"/>
          <w:szCs w:val="22"/>
          <w:lang w:eastAsia="zh-CN"/>
        </w:rPr>
        <w:t>«</w:t>
      </w:r>
      <w:r w:rsidRPr="00776F19">
        <w:rPr>
          <w:rFonts w:ascii="Calibri" w:hAnsi="Calibri" w:cs="Calibri"/>
          <w:color w:val="000000"/>
          <w:szCs w:val="22"/>
          <w:lang w:eastAsia="zh-CN"/>
        </w:rPr>
        <w:t>), Medien (</w:t>
      </w:r>
      <w:r>
        <w:rPr>
          <w:rFonts w:ascii="Calibri" w:hAnsi="Calibri" w:cs="Calibri"/>
          <w:color w:val="000000"/>
          <w:szCs w:val="22"/>
          <w:lang w:eastAsia="zh-CN"/>
        </w:rPr>
        <w:t>»</w:t>
      </w:r>
      <w:r w:rsidRPr="00776F19">
        <w:rPr>
          <w:rFonts w:ascii="Calibri" w:hAnsi="Calibri" w:cs="Calibri"/>
          <w:color w:val="000000"/>
          <w:szCs w:val="22"/>
          <w:lang w:eastAsia="zh-CN"/>
        </w:rPr>
        <w:t>Informative</w:t>
      </w:r>
      <w:r>
        <w:rPr>
          <w:rFonts w:ascii="Calibri" w:hAnsi="Calibri" w:cs="Calibri"/>
          <w:color w:val="000000"/>
          <w:szCs w:val="22"/>
          <w:lang w:eastAsia="zh-CN"/>
        </w:rPr>
        <w:t>«</w:t>
      </w:r>
      <w:r w:rsidRPr="00776F19">
        <w:rPr>
          <w:rFonts w:ascii="Calibri" w:hAnsi="Calibri" w:cs="Calibri"/>
          <w:color w:val="000000"/>
          <w:szCs w:val="22"/>
          <w:lang w:eastAsia="zh-CN"/>
        </w:rPr>
        <w:t>) und Finanzen (</w:t>
      </w:r>
      <w:r>
        <w:rPr>
          <w:rFonts w:ascii="Calibri" w:hAnsi="Calibri" w:cs="Calibri"/>
          <w:color w:val="000000"/>
          <w:szCs w:val="22"/>
          <w:lang w:eastAsia="zh-CN"/>
        </w:rPr>
        <w:t>»</w:t>
      </w:r>
      <w:r w:rsidRPr="00776F19">
        <w:rPr>
          <w:rFonts w:ascii="Calibri" w:hAnsi="Calibri" w:cs="Calibri"/>
          <w:color w:val="000000"/>
          <w:szCs w:val="22"/>
          <w:lang w:eastAsia="zh-CN"/>
        </w:rPr>
        <w:t>Pekuniative</w:t>
      </w:r>
      <w:r>
        <w:rPr>
          <w:rFonts w:ascii="Calibri" w:hAnsi="Calibri" w:cs="Calibri"/>
          <w:color w:val="000000"/>
          <w:szCs w:val="22"/>
          <w:lang w:eastAsia="zh-CN"/>
        </w:rPr>
        <w:t>«</w:t>
      </w:r>
      <w:r w:rsidRPr="00776F19">
        <w:rPr>
          <w:rFonts w:ascii="Calibri" w:hAnsi="Calibri" w:cs="Calibri"/>
          <w:color w:val="000000"/>
          <w:szCs w:val="22"/>
          <w:lang w:eastAsia="zh-CN"/>
        </w:rPr>
        <w:t xml:space="preserve">). Letztere wird repräsentiert durch die Neue WeltBank (NWB), </w:t>
      </w:r>
      <w:r>
        <w:rPr>
          <w:rFonts w:ascii="Calibri" w:hAnsi="Calibri" w:cs="Calibri"/>
          <w:color w:val="000000"/>
          <w:szCs w:val="22"/>
          <w:lang w:eastAsia="zh-CN"/>
        </w:rPr>
        <w:t xml:space="preserve">als einzige Geld schöpfende Institution, </w:t>
      </w:r>
      <w:r w:rsidRPr="00776F19">
        <w:rPr>
          <w:rFonts w:ascii="Calibri" w:hAnsi="Calibri" w:cs="Calibri"/>
          <w:color w:val="000000"/>
          <w:szCs w:val="22"/>
          <w:lang w:eastAsia="zh-CN"/>
        </w:rPr>
        <w:t>zinsfrei und unabhängig für eine stabile, gerechte Geldordnung sorgt. Forschung, Bildung und öffentlicher Diskurs sind dadurch keine Nebenschauplätze mehr – sondern systemtragende Kräfte einer zukunftsfähigen Gesellschaft.</w:t>
      </w:r>
    </w:p>
    <w:p w:rsidR="00776F19" w:rsidRPr="00776F19" w:rsidRDefault="00776F19" w:rsidP="00776F19">
      <w:pPr>
        <w:spacing w:after="120" w:line="264" w:lineRule="auto"/>
        <w:jc w:val="both"/>
        <w:rPr>
          <w:rFonts w:ascii="Calibri" w:hAnsi="Calibri" w:cs="Calibri"/>
          <w:color w:val="000000"/>
          <w:szCs w:val="22"/>
          <w:lang w:eastAsia="zh-CN"/>
        </w:rPr>
      </w:pPr>
      <w:r w:rsidRPr="00776F19">
        <w:rPr>
          <w:rFonts w:ascii="Calibri" w:hAnsi="Calibri" w:cs="Calibri"/>
          <w:color w:val="000000"/>
          <w:szCs w:val="22"/>
          <w:lang w:eastAsia="zh-CN"/>
        </w:rPr>
        <w:t xml:space="preserve">Das </w:t>
      </w:r>
      <w:r w:rsidRPr="00776F19">
        <w:rPr>
          <w:rFonts w:ascii="Calibri" w:hAnsi="Calibri" w:cs="Calibri"/>
          <w:i/>
          <w:color w:val="000000"/>
          <w:szCs w:val="22"/>
          <w:lang w:eastAsia="zh-CN"/>
        </w:rPr>
        <w:t>achte Leitprinzip</w:t>
      </w:r>
      <w:r w:rsidRPr="00776F19">
        <w:rPr>
          <w:rFonts w:ascii="Calibri" w:hAnsi="Calibri" w:cs="Calibri"/>
          <w:color w:val="000000"/>
          <w:szCs w:val="22"/>
          <w:lang w:eastAsia="zh-CN"/>
        </w:rPr>
        <w:t xml:space="preserve"> widmet sich der Frage, wie wir in dieser neuen Gesellschaft leben und arbeiten wollen. Arbeit ist nicht länger Mittel zur Existenzsicherung oder Ort permanenter Erschöpfung. Die Arbeitswelt der gWG folgt einem neuen Menschenbild – einem Bild, das auf Selbstverwirklichung, Kooperation und kreativer Mitgestaltung basiert. Grundlage bildet ein </w:t>
      </w:r>
      <w:r>
        <w:rPr>
          <w:rFonts w:ascii="Calibri" w:hAnsi="Calibri" w:cs="Calibri"/>
          <w:color w:val="000000"/>
          <w:szCs w:val="22"/>
          <w:lang w:eastAsia="zh-CN"/>
        </w:rPr>
        <w:t>B</w:t>
      </w:r>
      <w:r w:rsidRPr="00776F19">
        <w:rPr>
          <w:rFonts w:ascii="Calibri" w:hAnsi="Calibri" w:cs="Calibri"/>
          <w:color w:val="000000"/>
          <w:szCs w:val="22"/>
          <w:lang w:eastAsia="zh-CN"/>
        </w:rPr>
        <w:t>edingungsloses Grund</w:t>
      </w:r>
      <w:r>
        <w:rPr>
          <w:rFonts w:ascii="Calibri" w:hAnsi="Calibri" w:cs="Calibri"/>
          <w:color w:val="000000"/>
          <w:szCs w:val="22"/>
          <w:lang w:eastAsia="zh-CN"/>
        </w:rPr>
        <w:t>E</w:t>
      </w:r>
      <w:r w:rsidRPr="00776F19">
        <w:rPr>
          <w:rFonts w:ascii="Calibri" w:hAnsi="Calibri" w:cs="Calibri"/>
          <w:color w:val="000000"/>
          <w:szCs w:val="22"/>
          <w:lang w:eastAsia="zh-CN"/>
        </w:rPr>
        <w:t>inkommen (BGE), das jeder Mensch weltweit erhält. Es sichert die Grundbedürfnisse und gibt Raum für freie Entfaltung. Wer arbeiten möchte, kann dies tun – nicht aus Zwang, sondern aus Motivation.</w:t>
      </w:r>
    </w:p>
    <w:p w:rsidR="00776F19" w:rsidRPr="00776F19" w:rsidRDefault="00776F19" w:rsidP="00776F19">
      <w:pPr>
        <w:spacing w:after="120" w:line="264" w:lineRule="auto"/>
        <w:jc w:val="both"/>
        <w:rPr>
          <w:rFonts w:ascii="Calibri" w:hAnsi="Calibri" w:cs="Calibri"/>
          <w:color w:val="000000"/>
          <w:szCs w:val="22"/>
          <w:lang w:eastAsia="zh-CN"/>
        </w:rPr>
      </w:pPr>
      <w:r w:rsidRPr="00776F19">
        <w:rPr>
          <w:rFonts w:ascii="Calibri" w:hAnsi="Calibri" w:cs="Calibri"/>
          <w:color w:val="000000"/>
          <w:szCs w:val="22"/>
          <w:lang w:eastAsia="zh-CN"/>
        </w:rPr>
        <w:t>Gleichzeitig hat sich die Struktur der Arbeit verändert: Automatisierung, Digitalisierung und flexible Arbeitszeitmodelle haben die klassische Vollzeitstelle weitgehend abgelöst. Die gWG orientiert sich nicht mehr an industrieller Massenfertigung, sondern an einer wissensbasierten, kleinteiligen, dezentralen Wirtschaftsstruktur. Große Konzerne wurden aufgespalten, der Fokus liegt auf regionaler Produktion, nachhaltigem Wirtschaften und menschlichem Maß. Die Arbeitszeit ist auf vier Tage à drei bis vier Stunden reduziert – ohne finanzielle Einbußen.</w:t>
      </w:r>
    </w:p>
    <w:p w:rsidR="00776F19" w:rsidRPr="00776F19" w:rsidRDefault="00776F19" w:rsidP="00776F19">
      <w:pPr>
        <w:spacing w:after="120" w:line="264" w:lineRule="auto"/>
        <w:jc w:val="both"/>
        <w:rPr>
          <w:rFonts w:ascii="Calibri" w:hAnsi="Calibri" w:cs="Calibri"/>
          <w:color w:val="000000"/>
          <w:szCs w:val="22"/>
          <w:lang w:eastAsia="zh-CN"/>
        </w:rPr>
      </w:pPr>
      <w:r w:rsidRPr="00776F19">
        <w:rPr>
          <w:rFonts w:ascii="Calibri" w:hAnsi="Calibri" w:cs="Calibri"/>
          <w:color w:val="000000"/>
          <w:szCs w:val="22"/>
          <w:lang w:eastAsia="zh-CN"/>
        </w:rPr>
        <w:t xml:space="preserve">Staatliche Grundversorgungssektoren wie Gesundheit, Bildung, </w:t>
      </w:r>
      <w:r w:rsidR="003E5C68" w:rsidRPr="00F2013B">
        <w:rPr>
          <w:rFonts w:asciiTheme="minorHAnsi" w:hAnsiTheme="minorHAnsi" w:cstheme="minorHAnsi"/>
          <w:color w:val="000000" w:themeColor="text1"/>
          <w:shd w:val="clear" w:color="auto" w:fill="FFFFFF"/>
          <w14:textFill>
            <w14:solidFill>
              <w14:schemeClr w14:val="tx1">
                <w14:alpha w14:val="5000"/>
              </w14:schemeClr>
            </w14:solidFill>
          </w14:textFill>
        </w:rPr>
        <w:t>Energie-Verteilungssystem</w:t>
      </w:r>
      <w:r w:rsidR="009A7876">
        <w:rPr>
          <w:rFonts w:asciiTheme="minorHAnsi" w:hAnsiTheme="minorHAnsi" w:cstheme="minorHAnsi"/>
          <w:color w:val="000000" w:themeColor="text1"/>
          <w:shd w:val="clear" w:color="auto" w:fill="FFFFFF"/>
          <w14:textFill>
            <w14:solidFill>
              <w14:schemeClr w14:val="tx1">
                <w14:alpha w14:val="5000"/>
              </w14:schemeClr>
            </w14:solidFill>
          </w14:textFill>
        </w:rPr>
        <w:t>kosten</w:t>
      </w:r>
      <w:r w:rsidRPr="00776F19">
        <w:rPr>
          <w:rFonts w:ascii="Calibri" w:hAnsi="Calibri" w:cs="Calibri"/>
          <w:color w:val="000000"/>
          <w:szCs w:val="22"/>
          <w:lang w:eastAsia="zh-CN"/>
        </w:rPr>
        <w:t xml:space="preserve"> und Wasser stehen allen Bürgerinnen und Bürgern kostenfrei zur Verfügung. Gesundheit wird nicht länger nur als Abwesenheit von Krankheit verstanden, sondern als Zustand energetischer Balance. Bildung ist ein lebenslanges Grundrecht, das von der Vorschule bis zur Erwachsenenbildung kostenlos zur Verfügung </w:t>
      </w:r>
      <w:r w:rsidRPr="00776F19">
        <w:rPr>
          <w:rFonts w:ascii="Calibri" w:hAnsi="Calibri" w:cs="Calibri"/>
          <w:color w:val="000000"/>
          <w:szCs w:val="22"/>
          <w:lang w:eastAsia="zh-CN"/>
        </w:rPr>
        <w:lastRenderedPageBreak/>
        <w:t>steht – weltweit. Energie wird ausschließlich aus erneuerbaren Quellen gewonnen und fließt über ein dezentrales Netz. Wasser wird als öffentliches Gut behandelt und jedem Menschen frei zur Verfügung gestellt.</w:t>
      </w:r>
    </w:p>
    <w:p w:rsidR="00776F19" w:rsidRDefault="00776F19" w:rsidP="00776F19">
      <w:pPr>
        <w:spacing w:after="120" w:line="264" w:lineRule="auto"/>
        <w:jc w:val="both"/>
        <w:rPr>
          <w:rFonts w:ascii="Calibri" w:hAnsi="Calibri" w:cs="Calibri"/>
          <w:color w:val="000000"/>
          <w:szCs w:val="22"/>
          <w:lang w:eastAsia="zh-CN"/>
        </w:rPr>
      </w:pPr>
      <w:r w:rsidRPr="00776F19">
        <w:rPr>
          <w:rFonts w:ascii="Calibri" w:hAnsi="Calibri" w:cs="Calibri"/>
          <w:color w:val="000000"/>
          <w:szCs w:val="22"/>
          <w:lang w:eastAsia="zh-CN"/>
        </w:rPr>
        <w:t>Auch das Steuersystem wurde neu gedacht: Die Finanzierung der öffentlichen Aufgaben erfolgt im Wesentlichen über eine transparente Konsumsteuer (KS), ergänzt durch eine gezielte Deckelung von Vermögenszuwächsen. Statt Einkommen zu besteuern, wird also der Konsum besteuert – und zwar in Abhängigkeit von der ökologischen und sozialen Qualität eines Produkts</w:t>
      </w:r>
      <w:r w:rsidR="009A7876">
        <w:rPr>
          <w:rFonts w:ascii="Calibri" w:hAnsi="Calibri" w:cs="Calibri"/>
          <w:color w:val="000000"/>
          <w:szCs w:val="22"/>
          <w:lang w:eastAsia="zh-CN"/>
        </w:rPr>
        <w:t xml:space="preserve"> und seiner Herstellung</w:t>
      </w:r>
      <w:r w:rsidRPr="00776F19">
        <w:rPr>
          <w:rFonts w:ascii="Calibri" w:hAnsi="Calibri" w:cs="Calibri"/>
          <w:color w:val="000000"/>
          <w:szCs w:val="22"/>
          <w:lang w:eastAsia="zh-CN"/>
        </w:rPr>
        <w:t xml:space="preserve">. </w:t>
      </w:r>
      <w:r w:rsidR="009A7876" w:rsidRPr="009A7876">
        <w:rPr>
          <w:rFonts w:asciiTheme="minorHAnsi" w:hAnsiTheme="minorHAnsi" w:cstheme="minorHAnsi"/>
          <w:color w:val="000000"/>
          <w14:textFill>
            <w14:solidFill>
              <w14:srgbClr w14:val="000000">
                <w14:alpha w14:val="5000"/>
              </w14:srgbClr>
            </w14:solidFill>
          </w14:textFill>
        </w:rPr>
        <w:t xml:space="preserve">Der Konsument zahlt dementsprechend einen Preis, der alle Kosten eines Produktes entlang seiner Wertschöpfungskette enthält. </w:t>
      </w:r>
      <w:r w:rsidRPr="00776F19">
        <w:rPr>
          <w:rFonts w:ascii="Calibri" w:hAnsi="Calibri" w:cs="Calibri"/>
          <w:color w:val="000000"/>
          <w:szCs w:val="22"/>
          <w:lang w:eastAsia="zh-CN"/>
        </w:rPr>
        <w:t>Das schafft Anreize für nachhaltigen Konsum und verhindert ungerechte Belastungen.</w:t>
      </w:r>
    </w:p>
    <w:p w:rsidR="00D04753" w:rsidRDefault="00776F19" w:rsidP="00776F19">
      <w:pPr>
        <w:spacing w:after="360" w:line="264" w:lineRule="auto"/>
        <w:jc w:val="both"/>
        <w:rPr>
          <w:rFonts w:ascii="Calibri" w:hAnsi="Calibri" w:cs="Calibri"/>
          <w:color w:val="000000"/>
          <w:szCs w:val="22"/>
          <w:lang w:eastAsia="zh-CN"/>
        </w:rPr>
      </w:pPr>
      <w:r w:rsidRPr="00776F19">
        <w:rPr>
          <w:rFonts w:ascii="Calibri" w:hAnsi="Calibri" w:cs="Calibri"/>
          <w:color w:val="000000"/>
          <w:szCs w:val="22"/>
          <w:lang w:eastAsia="zh-CN"/>
        </w:rPr>
        <w:t>Die gWG-Arbeitswelt ist damit nicht nur ökologisch tragfähig, sondern auch sozial stabil. Sie schafft eine neue "Kultur der Wahl" – das heißt: Menschen arbeiten nicht, weil sie müssen, sondern weil sie wollen. Die Angst vor Armut, sozialem Abstieg oder Unsicherheit gehört der Vergangenheit an. Das BGE sichert die Existenz, die flexible Arbeitswelt ermöglicht Selbstverwirklichung, und die neuen Werte – wie Toleranz, Ehrlichkeit, Gemeinsinn – bilden das Fundament einer anderen Zukunft.</w:t>
      </w:r>
    </w:p>
    <w:p w:rsidR="00EC476B" w:rsidRDefault="00EC476B" w:rsidP="00D04753">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even" r:id="rId8"/>
      <w:headerReference w:type="default" r:id="rId9"/>
      <w:footerReference w:type="even" r:id="rId10"/>
      <w:footerReference w:type="default" r:id="rId11"/>
      <w:headerReference w:type="first" r:id="rId12"/>
      <w:footerReference w:type="first" r:id="rId13"/>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668" w:rsidRDefault="00796668">
      <w:r>
        <w:separator/>
      </w:r>
    </w:p>
  </w:endnote>
  <w:endnote w:type="continuationSeparator" w:id="0">
    <w:p w:rsidR="00796668" w:rsidRDefault="0079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727" w:rsidRDefault="00FA17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668" w:rsidRDefault="00796668">
      <w:r>
        <w:separator/>
      </w:r>
    </w:p>
  </w:footnote>
  <w:footnote w:type="continuationSeparator" w:id="0">
    <w:p w:rsidR="00796668" w:rsidRDefault="00796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727" w:rsidRDefault="00FA17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BA12BD" w:rsidP="00702DE2">
    <w:pPr>
      <w:pStyle w:val="Kopfzeile"/>
      <w:jc w:val="right"/>
    </w:pPr>
    <w:bookmarkStart w:id="0" w:name="_GoBack"/>
    <w:bookmarkEnd w:id="0"/>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FA1727">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727" w:rsidRDefault="00FA17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25301"/>
    <w:multiLevelType w:val="hybridMultilevel"/>
    <w:tmpl w:val="4BB61840"/>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8"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9"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3" w15:restartNumberingAfterBreak="0">
    <w:nsid w:val="4E264010"/>
    <w:multiLevelType w:val="hybridMultilevel"/>
    <w:tmpl w:val="C99E6D1C"/>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807067"/>
    <w:multiLevelType w:val="hybridMultilevel"/>
    <w:tmpl w:val="93EAE4DE"/>
    <w:lvl w:ilvl="0" w:tplc="C7860C4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10"/>
  </w:num>
  <w:num w:numId="2">
    <w:abstractNumId w:val="6"/>
  </w:num>
  <w:num w:numId="3">
    <w:abstractNumId w:val="4"/>
  </w:num>
  <w:num w:numId="4">
    <w:abstractNumId w:val="16"/>
  </w:num>
  <w:num w:numId="5">
    <w:abstractNumId w:val="15"/>
  </w:num>
  <w:num w:numId="6">
    <w:abstractNumId w:val="11"/>
  </w:num>
  <w:num w:numId="7">
    <w:abstractNumId w:val="5"/>
  </w:num>
  <w:num w:numId="8">
    <w:abstractNumId w:val="2"/>
  </w:num>
  <w:num w:numId="9">
    <w:abstractNumId w:val="1"/>
  </w:num>
  <w:num w:numId="10">
    <w:abstractNumId w:val="0"/>
  </w:num>
  <w:num w:numId="11">
    <w:abstractNumId w:val="9"/>
  </w:num>
  <w:num w:numId="12">
    <w:abstractNumId w:val="8"/>
  </w:num>
  <w:num w:numId="13">
    <w:abstractNumId w:val="12"/>
  </w:num>
  <w:num w:numId="14">
    <w:abstractNumId w:val="7"/>
  </w:num>
  <w:num w:numId="15">
    <w:abstractNumId w:val="17"/>
  </w:num>
  <w:num w:numId="16">
    <w:abstractNumId w:val="3"/>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1DC5"/>
    <w:rsid w:val="00023921"/>
    <w:rsid w:val="00092B0C"/>
    <w:rsid w:val="000B3320"/>
    <w:rsid w:val="000F32DC"/>
    <w:rsid w:val="00124F73"/>
    <w:rsid w:val="00126703"/>
    <w:rsid w:val="00157C35"/>
    <w:rsid w:val="00195B38"/>
    <w:rsid w:val="00201910"/>
    <w:rsid w:val="00212ED8"/>
    <w:rsid w:val="00242443"/>
    <w:rsid w:val="002665DE"/>
    <w:rsid w:val="002750C6"/>
    <w:rsid w:val="002D6141"/>
    <w:rsid w:val="00312989"/>
    <w:rsid w:val="0036504A"/>
    <w:rsid w:val="003E5C68"/>
    <w:rsid w:val="004116AC"/>
    <w:rsid w:val="0045043D"/>
    <w:rsid w:val="004716EC"/>
    <w:rsid w:val="00535033"/>
    <w:rsid w:val="00573184"/>
    <w:rsid w:val="00595EC0"/>
    <w:rsid w:val="005E1D16"/>
    <w:rsid w:val="00675795"/>
    <w:rsid w:val="006C044A"/>
    <w:rsid w:val="00702DE2"/>
    <w:rsid w:val="0072322C"/>
    <w:rsid w:val="00776F19"/>
    <w:rsid w:val="007818C1"/>
    <w:rsid w:val="00796668"/>
    <w:rsid w:val="007C6993"/>
    <w:rsid w:val="007D2A1B"/>
    <w:rsid w:val="008311FE"/>
    <w:rsid w:val="008345EC"/>
    <w:rsid w:val="008A23AC"/>
    <w:rsid w:val="008D4CC1"/>
    <w:rsid w:val="0096350E"/>
    <w:rsid w:val="009A7876"/>
    <w:rsid w:val="009B5FAF"/>
    <w:rsid w:val="009F600C"/>
    <w:rsid w:val="00A42331"/>
    <w:rsid w:val="00A5572F"/>
    <w:rsid w:val="00A86FB5"/>
    <w:rsid w:val="00AD2B60"/>
    <w:rsid w:val="00B012BE"/>
    <w:rsid w:val="00B57C67"/>
    <w:rsid w:val="00B75081"/>
    <w:rsid w:val="00B96D24"/>
    <w:rsid w:val="00BA12BD"/>
    <w:rsid w:val="00BA3E5A"/>
    <w:rsid w:val="00BB5F7D"/>
    <w:rsid w:val="00BE5803"/>
    <w:rsid w:val="00C13183"/>
    <w:rsid w:val="00C33682"/>
    <w:rsid w:val="00C433CA"/>
    <w:rsid w:val="00CA2289"/>
    <w:rsid w:val="00CA52E6"/>
    <w:rsid w:val="00CD2BCF"/>
    <w:rsid w:val="00CD641D"/>
    <w:rsid w:val="00D04753"/>
    <w:rsid w:val="00D408CB"/>
    <w:rsid w:val="00D607BA"/>
    <w:rsid w:val="00D817D6"/>
    <w:rsid w:val="00D91E20"/>
    <w:rsid w:val="00E05B59"/>
    <w:rsid w:val="00E17A02"/>
    <w:rsid w:val="00E20F89"/>
    <w:rsid w:val="00E27F85"/>
    <w:rsid w:val="00E70628"/>
    <w:rsid w:val="00E8482B"/>
    <w:rsid w:val="00E87F10"/>
    <w:rsid w:val="00EC476B"/>
    <w:rsid w:val="00EC6692"/>
    <w:rsid w:val="00ED7A46"/>
    <w:rsid w:val="00F405D9"/>
    <w:rsid w:val="00F82210"/>
    <w:rsid w:val="00F926FF"/>
    <w:rsid w:val="00FA1727"/>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D793F8"/>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27E2A-B88D-4128-B150-3500DDD2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4637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5291</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5</cp:revision>
  <cp:lastPrinted>2015-06-15T10:39:00Z</cp:lastPrinted>
  <dcterms:created xsi:type="dcterms:W3CDTF">2025-05-16T11:20:00Z</dcterms:created>
  <dcterms:modified xsi:type="dcterms:W3CDTF">2025-10-06T17:31:00Z</dcterms:modified>
</cp:coreProperties>
</file>